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3B3B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ffffff"/>
        </w:pBdr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FFFFF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f2228"/>
            <w:tcBorders>
              <w:left w:val="single" w:sz="16" w:color="ffff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ff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f222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B3B3B3"/>
          <w:sz w:val="20"/>
        </w:rPr>
        <w:t>12人团队</w:t>
      </w:r>
      <w:r>
        <w:rPr>
          <w:rFonts w:ascii="PingFang SC" w:hAnsi="PingFang SC" w:eastAsia="PingFang SC"/>
          <w:b w:val="0"/>
          <w:color w:val="B3B3B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B3B3B3"/>
          <w:sz w:val="20"/>
        </w:rPr>
        <w:t>3倍增长</w:t>
      </w:r>
      <w:r>
        <w:rPr>
          <w:rFonts w:ascii="PingFang SC" w:hAnsi="PingFang SC" w:eastAsia="PingFang SC"/>
          <w:b w:val="0"/>
          <w:color w:val="B3B3B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3B3B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FFFFFF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FFFFFF"/>
          <w:sz w:val="20"/>
        </w:rPr>
        <w:t xml:space="preserve">■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B3B3B3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ffffff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FFFFFF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B3B3B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