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png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1701"/>
        <w:gridCol w:w="8391"/>
      </w:tblGrid>
      <w:tr>
        <w:tc>
          <w:tcPr>
            <w:tcW w:type="dxa" w:w="1701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936000" cy="9360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6000" cy="936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080808"/>
                <w:sz w:val="64"/>
              </w:rPr>
              <w:t>陈思杨</w:t>
            </w:r>
          </w:p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146EF5"/>
                <w:sz w:val="28"/>
              </w:rPr>
              <w:t>高级后端工程师</w:t>
            </w:r>
          </w:p>
          <w:p>
            <w:pPr>
              <w:spacing w:after="120"/>
            </w:pPr>
            <w:r>
              <w:rPr>
                <w:rFonts w:ascii="PingFang SC" w:hAnsi="PingFang SC" w:eastAsia="PingFang SC"/>
                <w:b w:val="0"/>
                <w:color w:val="5A5A5A"/>
                <w:sz w:val="22"/>
              </w:rPr>
              <w:t>8年微服务架构经验 · 云原生技术专家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80808"/>
                <w:sz w:val="20"/>
              </w:rPr>
              <w:t>上海   ·   13800138000   ·   alice.chen@example.com   ·   github.com/alicechenxxxxxxx</w:t>
            </w:r>
          </w:p>
        </w:tc>
      </w:tr>
    </w:tbl>
    <w:p>
      <w:pPr>
        <w:spacing w:before="160" w:after="160" w:line="324" w:lineRule="auto"/>
        <w:jc w:val="left"/>
        <w:pBdr>
          <w:bottom w:val="single" w:sz="12" w:space="4" w:color="080808"/>
        </w:pBdr>
      </w:pPr>
    </w:p>
    <w:p>
      <w:pPr>
        <w:spacing w:before="320" w:after="120" w:line="324" w:lineRule="auto"/>
        <w:jc w:val="left"/>
        <w:pBdr>
          <w:bottom w:val="single" w:sz="4" w:space="4" w:color="080808"/>
        </w:pBdr>
      </w:pPr>
      <w:r>
        <w:rPr>
          <w:rFonts w:ascii="PingFang SC" w:hAnsi="PingFang SC" w:eastAsia="PingFang SC"/>
          <w:b/>
          <w:color w:val="080808"/>
          <w:sz w:val="40"/>
        </w:rPr>
        <w:t>核心优势</w:t>
      </w:r>
    </w:p>
    <w:p>
      <w:pPr>
        <w:spacing w:before="0" w:after="200" w:line="324" w:lineRule="auto"/>
        <w:jc w:val="center"/>
      </w:pPr>
      <w:r>
        <w:rPr>
          <w:rFonts w:ascii="PingFang SC" w:hAnsi="PingFang SC" w:eastAsia="PingFang SC"/>
          <w:b/>
          <w:color w:val="146EF5"/>
          <w:sz w:val="24"/>
        </w:rPr>
        <w:t>8年分布式系统经验 | 云原生架构设计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ffffff"/>
            <w:tcBorders>
              <w:left w:val="single" w:sz="6" w:color="146ef5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080808"/>
                <w:sz w:val="24"/>
              </w:rPr>
              <w:t>微服务架构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80808"/>
                <w:sz w:val="20"/>
              </w:rPr>
              <w:t>主导企业级微服务架构设计与落地，支撑</w:t>
            </w:r>
            <w:r>
              <w:rPr>
                <w:rFonts w:ascii="PingFang SC" w:hAnsi="PingFang SC" w:eastAsia="PingFang SC"/>
                <w:b/>
                <w:color w:val="080808"/>
                <w:sz w:val="20"/>
              </w:rPr>
              <w:t>日均千万级</w:t>
            </w:r>
            <w:r>
              <w:rPr>
                <w:rFonts w:ascii="PingFang SC" w:hAnsi="PingFang SC" w:eastAsia="PingFang SC"/>
                <w:b w:val="0"/>
                <w:color w:val="080808"/>
                <w:sz w:val="20"/>
              </w:rPr>
              <w:t>请求流量</w:t>
            </w:r>
          </w:p>
        </w:tc>
        <w:tc>
          <w:tcPr>
            <w:tcW w:type="dxa" w:w="4819"/>
            <w:shd w:val="clear" w:color="auto" w:fill="ffffff"/>
            <w:tcBorders>
              <w:left w:val="single" w:sz="6" w:color="146ef5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080808"/>
                <w:sz w:val="24"/>
              </w:rPr>
              <w:t>高并发系统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80808"/>
                <w:sz w:val="20"/>
              </w:rPr>
              <w:t>自研分布式任务调度框架，获</w:t>
            </w:r>
            <w:r>
              <w:rPr>
                <w:rFonts w:ascii="PingFang SC" w:hAnsi="PingFang SC" w:eastAsia="PingFang SC"/>
                <w:b/>
                <w:color w:val="080808"/>
                <w:sz w:val="20"/>
              </w:rPr>
              <w:t>开源社区5000+Star</w:t>
            </w:r>
            <w:r>
              <w:rPr>
                <w:rFonts w:ascii="PingFang SC" w:hAnsi="PingFang SC" w:eastAsia="PingFang SC"/>
                <w:b w:val="0"/>
                <w:color w:val="080808"/>
                <w:sz w:val="20"/>
              </w:rPr>
              <w:t>认可</w:t>
            </w:r>
          </w:p>
        </w:tc>
      </w:tr>
      <w:tr>
        <w:tc>
          <w:tcPr>
            <w:tcW w:type="dxa" w:w="4819"/>
            <w:shd w:val="clear" w:color="auto" w:fill="ffffff"/>
            <w:tcBorders>
              <w:left w:val="single" w:sz="6" w:color="146ef5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080808"/>
                <w:sz w:val="24"/>
              </w:rPr>
              <w:t>云原生转型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80808"/>
                <w:sz w:val="20"/>
              </w:rPr>
              <w:t>完成传统单体应用向云原生架构平滑迁移，部署效率提升</w:t>
            </w:r>
            <w:r>
              <w:rPr>
                <w:rFonts w:ascii="PingFang SC" w:hAnsi="PingFang SC" w:eastAsia="PingFang SC"/>
                <w:b/>
                <w:color w:val="080808"/>
                <w:sz w:val="20"/>
              </w:rPr>
              <w:t>10倍</w:t>
            </w:r>
          </w:p>
        </w:tc>
        <w:tc>
          <w:tcPr>
            <w:tcW w:type="dxa" w:w="4819"/>
            <w:shd w:val="clear" w:color="auto" w:fill="ffffff"/>
            <w:tcBorders>
              <w:left w:val="single" w:sz="6" w:color="146ef5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080808"/>
                <w:sz w:val="24"/>
              </w:rPr>
              <w:t>技术开源贡献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80808"/>
                <w:sz w:val="20"/>
              </w:rPr>
              <w:t>持有认证：</w:t>
            </w:r>
            <w:r>
              <w:rPr>
                <w:rFonts w:ascii="PingFang SC" w:hAnsi="PingFang SC" w:eastAsia="PingFang SC"/>
                <w:b/>
                <w:color w:val="080808"/>
                <w:sz w:val="20"/>
              </w:rPr>
              <w:t>CKA · AWS SAA · GCP Professional Cloud Architect</w:t>
            </w:r>
          </w:p>
        </w:tc>
      </w:tr>
    </w:tbl>
    <w:p>
      <w:pPr>
        <w:spacing w:before="320" w:after="120" w:line="324" w:lineRule="auto"/>
        <w:jc w:val="left"/>
        <w:pBdr>
          <w:bottom w:val="single" w:sz="4" w:space="4" w:color="080808"/>
        </w:pBdr>
      </w:pPr>
      <w:r>
        <w:rPr>
          <w:rFonts w:ascii="PingFang SC" w:hAnsi="PingFang SC" w:eastAsia="PingFang SC"/>
          <w:b/>
          <w:color w:val="080808"/>
          <w:sz w:val="40"/>
        </w:rPr>
        <w:t>核心成果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80808"/>
                <w:sz w:val="22"/>
              </w:rPr>
              <w:t>API响应延迟优化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46EF5"/>
                <w:sz w:val="22"/>
              </w:rPr>
              <w:t>P99从800ms降至50ms（16倍提升）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80808"/>
                <w:sz w:val="22"/>
              </w:rPr>
              <w:t>容器化部署效率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46EF5"/>
                <w:sz w:val="22"/>
              </w:rPr>
              <w:t>从周级发布到日级发布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80808"/>
                <w:sz w:val="22"/>
              </w:rPr>
              <w:t>系统可用性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46EF5"/>
                <w:sz w:val="22"/>
              </w:rPr>
              <w:t>99.99% SLA达成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80808"/>
                <w:sz w:val="22"/>
              </w:rPr>
              <w:t>成本优化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46EF5"/>
                <w:sz w:val="22"/>
              </w:rPr>
              <w:t>云资源成本降低40%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80808"/>
                <w:sz w:val="22"/>
              </w:rPr>
              <w:t>团队技术影响力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46EF5"/>
                <w:sz w:val="22"/>
              </w:rPr>
              <w:t>内部技术分享30+场次</w:t>
            </w:r>
          </w:p>
        </w:tc>
      </w:tr>
    </w:tbl>
    <w:p>
      <w:pPr>
        <w:spacing w:before="320" w:after="120" w:line="324" w:lineRule="auto"/>
        <w:jc w:val="left"/>
        <w:pBdr>
          <w:bottom w:val="single" w:sz="4" w:space="4" w:color="080808"/>
        </w:pBdr>
      </w:pPr>
      <w:r>
        <w:rPr>
          <w:rFonts w:ascii="PingFang SC" w:hAnsi="PingFang SC" w:eastAsia="PingFang SC"/>
          <w:b/>
          <w:color w:val="080808"/>
          <w:sz w:val="40"/>
        </w:rPr>
        <w:t>开源贡献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ffffff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80808"/>
                <w:sz w:val="20"/>
              </w:rPr>
              <w:t>开源项目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80808"/>
                <w:sz w:val="20"/>
              </w:rPr>
              <w:t>CloudFlow - 分布式任务调度框架</w:t>
            </w:r>
            <w:r>
              <w:rPr>
                <w:rFonts w:ascii="PingFang SC" w:hAnsi="PingFang SC" w:eastAsia="PingFang SC"/>
                <w:b w:val="0"/>
                <w:color w:val="146EF5"/>
                <w:sz w:val="20"/>
              </w:rPr>
              <w:t xml:space="preserve">  ·  GitHub 5000+ Stars</w:t>
            </w:r>
          </w:p>
        </w:tc>
      </w:tr>
      <w:tr>
        <w:tc>
          <w:tcPr>
            <w:tcW w:type="dxa" w:w="4819"/>
            <w:shd w:val="clear" w:color="auto" w:fill="ffffff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80808"/>
                <w:sz w:val="20"/>
              </w:rPr>
              <w:t>技术专利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80808"/>
                <w:sz w:val="20"/>
              </w:rPr>
              <w:t>基于流式计算的资源调度方法</w:t>
            </w:r>
            <w:r>
              <w:rPr>
                <w:rFonts w:ascii="PingFang SC" w:hAnsi="PingFang SC" w:eastAsia="PingFang SC"/>
                <w:b w:val="0"/>
                <w:color w:val="146EF5"/>
                <w:sz w:val="20"/>
              </w:rPr>
              <w:t xml:space="preserve">  ·  CN202310XXXXXX</w:t>
            </w:r>
          </w:p>
        </w:tc>
      </w:tr>
    </w:tbl>
    <w:p>
      <w:pPr>
        <w:spacing w:before="320" w:after="120" w:line="324" w:lineRule="auto"/>
        <w:jc w:val="left"/>
        <w:pBdr>
          <w:bottom w:val="single" w:sz="4" w:space="4" w:color="080808"/>
        </w:pBdr>
      </w:pPr>
      <w:r>
        <w:rPr>
          <w:rFonts w:ascii="PingFang SC" w:hAnsi="PingFang SC" w:eastAsia="PingFang SC"/>
          <w:b/>
          <w:color w:val="080808"/>
          <w:sz w:val="40"/>
        </w:rPr>
        <w:t>技术栈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46EF5"/>
                <w:sz w:val="20"/>
              </w:rPr>
              <w:t>云平台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80808"/>
                <w:sz w:val="20"/>
              </w:rPr>
              <w:t>AWS · GCP · 阿里云 · Kubernetes · Docker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46EF5"/>
                <w:sz w:val="20"/>
              </w:rPr>
              <w:t>后端开发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80808"/>
                <w:sz w:val="20"/>
              </w:rPr>
              <w:t>Go · Java · Python · Rust · Node.js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46EF5"/>
                <w:sz w:val="20"/>
              </w:rPr>
              <w:t>微服务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80808"/>
                <w:sz w:val="20"/>
              </w:rPr>
              <w:t>gRPC · GraphQL · REST API · EventMesh · Nacos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46EF5"/>
                <w:sz w:val="20"/>
              </w:rPr>
              <w:t>数据存储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80808"/>
                <w:sz w:val="20"/>
              </w:rPr>
              <w:t>PostgreSQL · MySQL · Redis · MongoDB · Elasticsearch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46EF5"/>
                <w:sz w:val="20"/>
              </w:rPr>
              <w:t>消息队列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80808"/>
                <w:sz w:val="20"/>
              </w:rPr>
              <w:t>Kafka · RabbitMQ · Pulsar · NATS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46EF5"/>
                <w:sz w:val="20"/>
              </w:rPr>
              <w:t>监控可观测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80808"/>
                <w:sz w:val="20"/>
              </w:rPr>
              <w:t>Prometheus · Grafana · Jaeger · ELK Stack · Datadog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46EF5"/>
                <w:sz w:val="20"/>
              </w:rPr>
              <w:t>CI/CD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80808"/>
                <w:sz w:val="20"/>
              </w:rPr>
              <w:t>GitLab CI · ArgoCD · Flux · Jenkins · GitHub Actions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46EF5"/>
                <w:sz w:val="20"/>
              </w:rPr>
              <w:t>开发框架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80808"/>
                <w:sz w:val="20"/>
              </w:rPr>
              <w:t>Spring Boot · FastAPI · Gin · Django · Echo</w:t>
            </w:r>
          </w:p>
        </w:tc>
      </w:tr>
    </w:tbl>
    <w:p>
      <w:pPr>
        <w:spacing w:before="320" w:after="120" w:line="324" w:lineRule="auto"/>
        <w:jc w:val="left"/>
        <w:pBdr>
          <w:bottom w:val="single" w:sz="4" w:space="4" w:color="080808"/>
        </w:pBdr>
      </w:pPr>
      <w:r>
        <w:rPr>
          <w:rFonts w:ascii="PingFang SC" w:hAnsi="PingFang SC" w:eastAsia="PingFang SC"/>
          <w:b/>
          <w:color w:val="080808"/>
          <w:sz w:val="40"/>
        </w:rPr>
        <w:t>个人项目</w:t>
      </w:r>
    </w:p>
    <w:p>
      <w:pPr>
        <w:spacing w:after="40"/>
      </w:pPr>
      <w:r>
        <w:rPr>
          <w:rFonts w:ascii="PingFang SC" w:hAnsi="PingFang SC" w:eastAsia="PingFang SC"/>
          <w:b/>
          <w:color w:val="080808"/>
          <w:sz w:val="24"/>
        </w:rPr>
        <w:t>ResumeForge - 品牌级简历生成器</w:t>
      </w:r>
      <w:r>
        <w:rPr>
          <w:rFonts w:ascii="PingFang SC" w:hAnsi="PingFang SC" w:eastAsia="PingFang SC"/>
          <w:b w:val="0"/>
          <w:color w:val="5A5A5A"/>
          <w:sz w:val="20"/>
        </w:rPr>
        <w:t xml:space="preserve">  |  开源项目  2025.01 – 至今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146EF5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80808"/>
          <w:sz w:val="20"/>
        </w:rPr>
        <w:t>从零构建多主题简历生成系统，支持</w:t>
      </w:r>
      <w:r>
        <w:rPr>
          <w:rFonts w:ascii="PingFang SC" w:hAnsi="PingFang SC" w:eastAsia="PingFang SC"/>
          <w:b/>
          <w:color w:val="080808"/>
          <w:sz w:val="20"/>
        </w:rPr>
        <w:t>58个品牌设计风格</w:t>
      </w:r>
      <w:r>
        <w:rPr>
          <w:rFonts w:ascii="PingFang SC" w:hAnsi="PingFang SC" w:eastAsia="PingFang SC"/>
          <w:b w:val="0"/>
          <w:color w:val="080808"/>
          <w:sz w:val="20"/>
        </w:rPr>
        <w:t>（Apple/Tesla/Stripe/Vercel等）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146EF5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80808"/>
          <w:sz w:val="20"/>
        </w:rPr>
        <w:t>YAML驱动的内容管理，一键生成</w:t>
      </w:r>
      <w:r>
        <w:rPr>
          <w:rFonts w:ascii="PingFang SC" w:hAnsi="PingFang SC" w:eastAsia="PingFang SC"/>
          <w:b/>
          <w:color w:val="080808"/>
          <w:sz w:val="20"/>
        </w:rPr>
        <w:t>HTML/PDF/DOCX</w:t>
      </w:r>
      <w:r>
        <w:rPr>
          <w:rFonts w:ascii="PingFang SC" w:hAnsi="PingFang SC" w:eastAsia="PingFang SC"/>
          <w:b w:val="0"/>
          <w:color w:val="080808"/>
          <w:sz w:val="20"/>
        </w:rPr>
        <w:t>三种格式，中英双语支持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146EF5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80808"/>
          <w:sz w:val="20"/>
        </w:rPr>
        <w:t>模块化架构设计：内容与样式分离，主题配置热插拔，支持自定义品牌扩展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146EF5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80808"/>
          <w:sz w:val="20"/>
        </w:rPr>
        <w:t>应用技术：Python、Jinja2模板引擎、python-docx、Chrome Headless PDF渲染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bottom w:val="single" w:sz="4" w:space="4" w:color="080808"/>
        </w:pBdr>
      </w:pPr>
      <w:r>
        <w:rPr>
          <w:rFonts w:ascii="PingFang SC" w:hAnsi="PingFang SC" w:eastAsia="PingFang SC"/>
          <w:b/>
          <w:color w:val="080808"/>
          <w:sz w:val="40"/>
        </w:rPr>
        <w:t>工作经历</w:t>
      </w:r>
    </w:p>
    <w:p>
      <w:pPr>
        <w:spacing w:before="160" w:after="40"/>
      </w:pPr>
      <w:r>
        <w:rPr>
          <w:rFonts w:ascii="PingFang SC" w:hAnsi="PingFang SC" w:eastAsia="PingFang SC"/>
          <w:b/>
          <w:color w:val="080808"/>
          <w:sz w:val="28"/>
        </w:rPr>
        <w:t>星辰科技集团</w:t>
      </w:r>
      <w:r>
        <w:rPr>
          <w:rFonts w:ascii="PingFang SC" w:hAnsi="PingFang SC" w:eastAsia="PingFang SC"/>
          <w:b w:val="0"/>
          <w:color w:val="5A5A5A"/>
          <w:sz w:val="20"/>
        </w:rPr>
        <w:t xml:space="preserve">    2022.06 – 至今 | 上海</w:t>
      </w:r>
    </w:p>
    <w:p>
      <w:pPr>
        <w:spacing w:after="80"/>
      </w:pPr>
      <w:r>
        <w:rPr>
          <w:rFonts w:ascii="PingFang SC" w:hAnsi="PingFang SC" w:eastAsia="PingFang SC"/>
          <w:b/>
          <w:color w:val="146EF5"/>
          <w:sz w:val="22"/>
        </w:rPr>
        <w:t>技术架构师 · 后端团队负责人</w:t>
      </w:r>
    </w:p>
    <w:p>
      <w:pPr>
        <w:spacing w:after="120"/>
      </w:pPr>
      <w:r>
        <w:rPr>
          <w:rFonts w:ascii="PingFang SC" w:hAnsi="PingFang SC" w:eastAsia="PingFang SC"/>
          <w:b w:val="0"/>
          <w:color w:val="5A5A5A"/>
          <w:sz w:val="20"/>
        </w:rPr>
        <w:t>主导核心业务系统架构演进，带领</w:t>
      </w:r>
      <w:r>
        <w:rPr>
          <w:rFonts w:ascii="PingFang SC" w:hAnsi="PingFang SC" w:eastAsia="PingFang SC"/>
          <w:b/>
          <w:color w:val="5A5A5A"/>
          <w:sz w:val="20"/>
        </w:rPr>
        <w:t>12人团队</w:t>
      </w:r>
      <w:r>
        <w:rPr>
          <w:rFonts w:ascii="PingFang SC" w:hAnsi="PingFang SC" w:eastAsia="PingFang SC"/>
          <w:b w:val="0"/>
          <w:color w:val="5A5A5A"/>
          <w:sz w:val="20"/>
        </w:rPr>
        <w:t>完成云原生转型，支撑公司业务</w:t>
      </w:r>
      <w:r>
        <w:rPr>
          <w:rFonts w:ascii="PingFang SC" w:hAnsi="PingFang SC" w:eastAsia="PingFang SC"/>
          <w:b/>
          <w:color w:val="5A5A5A"/>
          <w:sz w:val="20"/>
        </w:rPr>
        <w:t>3倍增长</w:t>
      </w:r>
      <w:r>
        <w:rPr>
          <w:rFonts w:ascii="PingFang SC" w:hAnsi="PingFang SC" w:eastAsia="PingFang SC"/>
          <w:b w:val="0"/>
          <w:color w:val="5A5A5A"/>
          <w:sz w:val="20"/>
        </w:rPr>
        <w:t>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80808"/>
          <w:sz w:val="20"/>
        </w:rPr>
        <w:t>▸ 云原生架构转型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46EF5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80808"/>
          <w:sz w:val="20"/>
        </w:rPr>
        <w:t>主导单体应用拆分为</w:t>
      </w:r>
      <w:r>
        <w:rPr>
          <w:rFonts w:ascii="PingFang SC" w:hAnsi="PingFang SC" w:eastAsia="PingFang SC"/>
          <w:b/>
          <w:color w:val="080808"/>
          <w:sz w:val="20"/>
        </w:rPr>
        <w:t>30+微服务</w:t>
      </w:r>
      <w:r>
        <w:rPr>
          <w:rFonts w:ascii="PingFang SC" w:hAnsi="PingFang SC" w:eastAsia="PingFang SC"/>
          <w:b w:val="0"/>
          <w:color w:val="080808"/>
          <w:sz w:val="20"/>
        </w:rPr>
        <w:t>，采用Service Mesh架构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46EF5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80808"/>
          <w:sz w:val="20"/>
        </w:rPr>
        <w:t>建立GitOps发布流程，实现</w:t>
      </w:r>
      <w:r>
        <w:rPr>
          <w:rFonts w:ascii="PingFang SC" w:hAnsi="PingFang SC" w:eastAsia="PingFang SC"/>
          <w:b/>
          <w:color w:val="080808"/>
          <w:sz w:val="20"/>
        </w:rPr>
        <w:t>日级迭代</w:t>
      </w:r>
      <w:r>
        <w:rPr>
          <w:rFonts w:ascii="PingFang SC" w:hAnsi="PingFang SC" w:eastAsia="PingFang SC"/>
          <w:b w:val="0"/>
          <w:color w:val="080808"/>
          <w:sz w:val="20"/>
        </w:rPr>
        <w:t>能力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46EF5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80808"/>
          <w:sz w:val="20"/>
        </w:rPr>
        <w:t>系统可用性从99.5%提升至</w:t>
      </w:r>
      <w:r>
        <w:rPr>
          <w:rFonts w:ascii="PingFang SC" w:hAnsi="PingFang SC" w:eastAsia="PingFang SC"/>
          <w:b/>
          <w:color w:val="080808"/>
          <w:sz w:val="20"/>
        </w:rPr>
        <w:t>99.99%</w:t>
      </w:r>
      <w:r>
        <w:rPr>
          <w:rFonts w:ascii="PingFang SC" w:hAnsi="PingFang SC" w:eastAsia="PingFang SC"/>
          <w:b w:val="0"/>
          <w:color w:val="080808"/>
          <w:sz w:val="20"/>
        </w:rPr>
        <w:t>，故障恢复时间从小时级降至分钟级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80808"/>
          <w:sz w:val="20"/>
        </w:rPr>
        <w:t>▸ 高并发交易系统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46EF5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80808"/>
          <w:sz w:val="20"/>
        </w:rPr>
        <w:t>设计分布式事务解决方案，支撑</w:t>
      </w:r>
      <w:r>
        <w:rPr>
          <w:rFonts w:ascii="PingFang SC" w:hAnsi="PingFang SC" w:eastAsia="PingFang SC"/>
          <w:b/>
          <w:color w:val="080808"/>
          <w:sz w:val="20"/>
        </w:rPr>
        <w:t>日均千万订单</w:t>
      </w:r>
      <w:r>
        <w:rPr>
          <w:rFonts w:ascii="PingFang SC" w:hAnsi="PingFang SC" w:eastAsia="PingFang SC"/>
          <w:b w:val="0"/>
          <w:color w:val="080808"/>
          <w:sz w:val="20"/>
        </w:rPr>
        <w:t>处理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46EF5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80808"/>
          <w:sz w:val="20"/>
        </w:rPr>
        <w:t>API P99延迟从800ms优化至</w:t>
      </w:r>
      <w:r>
        <w:rPr>
          <w:rFonts w:ascii="PingFang SC" w:hAnsi="PingFang SC" w:eastAsia="PingFang SC"/>
          <w:b/>
          <w:color w:val="080808"/>
          <w:sz w:val="20"/>
        </w:rPr>
        <w:t>50ms</w:t>
      </w:r>
      <w:r>
        <w:rPr>
          <w:rFonts w:ascii="PingFang SC" w:hAnsi="PingFang SC" w:eastAsia="PingFang SC"/>
          <w:b w:val="0"/>
          <w:color w:val="080808"/>
          <w:sz w:val="20"/>
        </w:rPr>
        <w:t>，QPS峰值提升至</w:t>
      </w:r>
      <w:r>
        <w:rPr>
          <w:rFonts w:ascii="PingFang SC" w:hAnsi="PingFang SC" w:eastAsia="PingFang SC"/>
          <w:b/>
          <w:color w:val="080808"/>
          <w:sz w:val="20"/>
        </w:rPr>
        <w:t>50000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46EF5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80808"/>
          <w:sz w:val="20"/>
        </w:rPr>
        <w:t>引入异步事件驱动架构，系统吞吐量提升</w:t>
      </w:r>
      <w:r>
        <w:rPr>
          <w:rFonts w:ascii="PingFang SC" w:hAnsi="PingFang SC" w:eastAsia="PingFang SC"/>
          <w:b/>
          <w:color w:val="080808"/>
          <w:sz w:val="20"/>
        </w:rPr>
        <w:t>5倍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80808"/>
          <w:sz w:val="20"/>
        </w:rPr>
        <w:t>▸ 数据平台建设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46EF5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80808"/>
          <w:sz w:val="20"/>
        </w:rPr>
        <w:t>构建实时数据管道，支持</w:t>
      </w:r>
      <w:r>
        <w:rPr>
          <w:rFonts w:ascii="PingFang SC" w:hAnsi="PingFang SC" w:eastAsia="PingFang SC"/>
          <w:b/>
          <w:color w:val="080808"/>
          <w:sz w:val="20"/>
        </w:rPr>
        <w:t>PB级</w:t>
      </w:r>
      <w:r>
        <w:rPr>
          <w:rFonts w:ascii="PingFang SC" w:hAnsi="PingFang SC" w:eastAsia="PingFang SC"/>
          <w:b w:val="0"/>
          <w:color w:val="080808"/>
          <w:sz w:val="20"/>
        </w:rPr>
        <w:t>数据处理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46EF5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80808"/>
          <w:sz w:val="20"/>
        </w:rPr>
        <w:t>引入ClickHouse列式存储，查询性能提升</w:t>
      </w:r>
      <w:r>
        <w:rPr>
          <w:rFonts w:ascii="PingFang SC" w:hAnsi="PingFang SC" w:eastAsia="PingFang SC"/>
          <w:b/>
          <w:color w:val="080808"/>
          <w:sz w:val="20"/>
        </w:rPr>
        <w:t>100倍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46EF5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80808"/>
          <w:sz w:val="20"/>
        </w:rPr>
        <w:t>建立数据质量监控体系，数据准确性达</w:t>
      </w:r>
      <w:r>
        <w:rPr>
          <w:rFonts w:ascii="PingFang SC" w:hAnsi="PingFang SC" w:eastAsia="PingFang SC"/>
          <w:b/>
          <w:color w:val="080808"/>
          <w:sz w:val="20"/>
        </w:rPr>
        <w:t>99.9%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080808"/>
          <w:sz w:val="28"/>
        </w:rPr>
        <w:t>云启智能科技有限公司</w:t>
      </w:r>
      <w:r>
        <w:rPr>
          <w:rFonts w:ascii="PingFang SC" w:hAnsi="PingFang SC" w:eastAsia="PingFang SC"/>
          <w:b w:val="0"/>
          <w:color w:val="5A5A5A"/>
          <w:sz w:val="20"/>
        </w:rPr>
        <w:t xml:space="preserve">    2019.03 – 2022.05 | 深圳</w:t>
      </w:r>
    </w:p>
    <w:p>
      <w:pPr>
        <w:spacing w:after="80"/>
      </w:pPr>
      <w:r>
        <w:rPr>
          <w:rFonts w:ascii="PingFang SC" w:hAnsi="PingFang SC" w:eastAsia="PingFang SC"/>
          <w:b/>
          <w:color w:val="146EF5"/>
          <w:sz w:val="22"/>
        </w:rPr>
        <w:t>高级后端工程师</w:t>
      </w:r>
    </w:p>
    <w:p>
      <w:pPr>
        <w:spacing w:after="120"/>
      </w:pPr>
      <w:r>
        <w:rPr>
          <w:rFonts w:ascii="PingFang SC" w:hAnsi="PingFang SC" w:eastAsia="PingFang SC"/>
          <w:b w:val="0"/>
          <w:color w:val="5A5A5A"/>
          <w:sz w:val="20"/>
        </w:rPr>
        <w:t>参AI推理平台研发，负责核心服务设计与性能优化。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80808"/>
          <w:sz w:val="20"/>
        </w:rPr>
        <w:t>▸ AI推理服务平台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46EF5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80808"/>
          <w:sz w:val="20"/>
        </w:rPr>
        <w:t>设计模型服务网关，支持</w:t>
      </w:r>
      <w:r>
        <w:rPr>
          <w:rFonts w:ascii="PingFang SC" w:hAnsi="PingFang SC" w:eastAsia="PingFang SC"/>
          <w:b/>
          <w:color w:val="080808"/>
          <w:sz w:val="20"/>
        </w:rPr>
        <w:t>100+AI模型</w:t>
      </w:r>
      <w:r>
        <w:rPr>
          <w:rFonts w:ascii="PingFang SC" w:hAnsi="PingFang SC" w:eastAsia="PingFang SC"/>
          <w:b w:val="0"/>
          <w:color w:val="080808"/>
          <w:sz w:val="20"/>
        </w:rPr>
        <w:t>动态调度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46EF5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80808"/>
          <w:sz w:val="20"/>
        </w:rPr>
        <w:t>实现推理请求负载均衡，GPU利用率从40%提升至</w:t>
      </w:r>
      <w:r>
        <w:rPr>
          <w:rFonts w:ascii="PingFang SC" w:hAnsi="PingFang SC" w:eastAsia="PingFang SC"/>
          <w:b/>
          <w:color w:val="080808"/>
          <w:sz w:val="20"/>
        </w:rPr>
        <w:t>85%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46EF5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80808"/>
          <w:sz w:val="20"/>
        </w:rPr>
        <w:t>建立模型版本管理与灰度发布机制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80808"/>
          <w:sz w:val="20"/>
        </w:rPr>
        <w:t>▸ 实时特征计算系统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46EF5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80808"/>
          <w:sz w:val="20"/>
        </w:rPr>
        <w:t>构建流式特征计算引擎，延迟从秒级降至</w:t>
      </w:r>
      <w:r>
        <w:rPr>
          <w:rFonts w:ascii="PingFang SC" w:hAnsi="PingFang SC" w:eastAsia="PingFang SC"/>
          <w:b/>
          <w:color w:val="080808"/>
          <w:sz w:val="20"/>
        </w:rPr>
        <w:t>毫秒级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46EF5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80808"/>
          <w:sz w:val="20"/>
        </w:rPr>
        <w:t>特征存储采用Redis Cluster，支持</w:t>
      </w:r>
      <w:r>
        <w:rPr>
          <w:rFonts w:ascii="PingFang SC" w:hAnsi="PingFang SC" w:eastAsia="PingFang SC"/>
          <w:b/>
          <w:color w:val="080808"/>
          <w:sz w:val="20"/>
        </w:rPr>
        <w:t>亿级特征</w:t>
      </w:r>
      <w:r>
        <w:rPr>
          <w:rFonts w:ascii="PingFang SC" w:hAnsi="PingFang SC" w:eastAsia="PingFang SC"/>
          <w:b w:val="0"/>
          <w:color w:val="080808"/>
          <w:sz w:val="20"/>
        </w:rPr>
        <w:t>实时查询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46EF5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80808"/>
          <w:sz w:val="20"/>
        </w:rPr>
        <w:t>系统支撑</w:t>
      </w:r>
      <w:r>
        <w:rPr>
          <w:rFonts w:ascii="PingFang SC" w:hAnsi="PingFang SC" w:eastAsia="PingFang SC"/>
          <w:b/>
          <w:color w:val="080808"/>
          <w:sz w:val="20"/>
        </w:rPr>
        <w:t>千万级日活</w:t>
      </w:r>
      <w:r>
        <w:rPr>
          <w:rFonts w:ascii="PingFang SC" w:hAnsi="PingFang SC" w:eastAsia="PingFang SC"/>
          <w:b w:val="0"/>
          <w:color w:val="080808"/>
          <w:sz w:val="20"/>
        </w:rPr>
        <w:t>用户个性化推荐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080808"/>
          <w:sz w:val="28"/>
        </w:rPr>
        <w:t>创新软件技术有限公司</w:t>
      </w:r>
      <w:r>
        <w:rPr>
          <w:rFonts w:ascii="PingFang SC" w:hAnsi="PingFang SC" w:eastAsia="PingFang SC"/>
          <w:b w:val="0"/>
          <w:color w:val="5A5A5A"/>
          <w:sz w:val="20"/>
        </w:rPr>
        <w:t xml:space="preserve">    2017.07 – 2019.02 | 北京</w:t>
      </w:r>
    </w:p>
    <w:p>
      <w:pPr>
        <w:spacing w:after="80"/>
      </w:pPr>
      <w:r>
        <w:rPr>
          <w:rFonts w:ascii="PingFang SC" w:hAnsi="PingFang SC" w:eastAsia="PingFang SC"/>
          <w:b/>
          <w:color w:val="146EF5"/>
          <w:sz w:val="22"/>
        </w:rPr>
        <w:t>后端开发工程师</w:t>
      </w:r>
    </w:p>
    <w:p>
      <w:pPr>
        <w:spacing w:after="120"/>
      </w:pPr>
    </w:p>
    <w:p>
      <w:pPr>
        <w:spacing w:before="80" w:after="40"/>
      </w:pPr>
      <w:r>
        <w:rPr>
          <w:rFonts w:ascii="PingFang SC" w:hAnsi="PingFang SC" w:eastAsia="PingFang SC"/>
          <w:b/>
          <w:color w:val="080808"/>
          <w:sz w:val="20"/>
        </w:rPr>
        <w:t>▸ 电商平台后端服务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46EF5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80808"/>
          <w:sz w:val="20"/>
        </w:rPr>
        <w:t>负责订单、支付核心模块开发，支持</w:t>
      </w:r>
      <w:r>
        <w:rPr>
          <w:rFonts w:ascii="PingFang SC" w:hAnsi="PingFang SC" w:eastAsia="PingFang SC"/>
          <w:b/>
          <w:color w:val="080808"/>
          <w:sz w:val="20"/>
        </w:rPr>
        <w:t>百万级日订单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46EF5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80808"/>
          <w:sz w:val="20"/>
        </w:rPr>
        <w:t>设计分布式锁方案，解决库存超卖问题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46EF5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80808"/>
          <w:sz w:val="20"/>
        </w:rPr>
        <w:t>引入消息队列解耦，系统稳定性提升</w:t>
      </w:r>
      <w:r>
        <w:rPr>
          <w:rFonts w:ascii="PingFang SC" w:hAnsi="PingFang SC" w:eastAsia="PingFang SC"/>
          <w:b/>
          <w:color w:val="080808"/>
          <w:sz w:val="20"/>
        </w:rPr>
        <w:t>30%</w:t>
      </w:r>
    </w:p>
    <w:p>
      <w:pPr>
        <w:spacing w:before="320" w:after="120" w:line="324" w:lineRule="auto"/>
        <w:jc w:val="left"/>
        <w:pBdr>
          <w:bottom w:val="single" w:sz="4" w:space="4" w:color="080808"/>
        </w:pBdr>
      </w:pPr>
      <w:r>
        <w:rPr>
          <w:rFonts w:ascii="PingFang SC" w:hAnsi="PingFang SC" w:eastAsia="PingFang SC"/>
          <w:b/>
          <w:color w:val="080808"/>
          <w:sz w:val="40"/>
        </w:rPr>
        <w:t>认证证书</w:t>
      </w:r>
    </w:p>
    <w:p>
      <w:pPr>
        <w:spacing w:after="80"/>
      </w:pPr>
      <w:r>
        <w:rPr>
          <w:rFonts w:ascii="PingFang SC" w:hAnsi="PingFang SC" w:eastAsia="PingFang SC"/>
          <w:b/>
          <w:color w:val="080808"/>
          <w:sz w:val="20"/>
        </w:rPr>
        <w:t>CKA认证</w:t>
      </w:r>
      <w:r>
        <w:rPr>
          <w:rFonts w:ascii="PingFang SC" w:hAnsi="PingFang SC" w:eastAsia="PingFang SC"/>
          <w:b w:val="0"/>
          <w:color w:val="5A5A5A"/>
          <w:sz w:val="18"/>
        </w:rPr>
        <w:t xml:space="preserve"> (2023.08)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080808"/>
          <w:sz w:val="20"/>
        </w:rPr>
        <w:t>AWS解决方案架构师</w:t>
      </w:r>
      <w:r>
        <w:rPr>
          <w:rFonts w:ascii="PingFang SC" w:hAnsi="PingFang SC" w:eastAsia="PingFang SC"/>
          <w:b w:val="0"/>
          <w:color w:val="5A5A5A"/>
          <w:sz w:val="18"/>
        </w:rPr>
        <w:t xml:space="preserve"> (2022.11)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080808"/>
          <w:sz w:val="20"/>
        </w:rPr>
        <w:t>GCP专业云架构师</w:t>
      </w:r>
      <w:r>
        <w:rPr>
          <w:rFonts w:ascii="PingFang SC" w:hAnsi="PingFang SC" w:eastAsia="PingFang SC"/>
          <w:b w:val="0"/>
          <w:color w:val="5A5A5A"/>
          <w:sz w:val="18"/>
        </w:rPr>
        <w:t xml:space="preserve"> (2022.06)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080808"/>
          <w:sz w:val="20"/>
        </w:rPr>
        <w:t>阿里云ACE</w:t>
      </w:r>
      <w:r>
        <w:rPr>
          <w:rFonts w:ascii="PingFang SC" w:hAnsi="PingFang SC" w:eastAsia="PingFang SC"/>
          <w:b w:val="0"/>
          <w:color w:val="5A5A5A"/>
          <w:sz w:val="18"/>
        </w:rPr>
        <w:t xml:space="preserve"> (2021.09)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080808"/>
          <w:sz w:val="20"/>
        </w:rPr>
        <w:t>PMP项目管理</w:t>
      </w:r>
      <w:r>
        <w:rPr>
          <w:rFonts w:ascii="PingFang SC" w:hAnsi="PingFang SC" w:eastAsia="PingFang SC"/>
          <w:b w:val="0"/>
          <w:color w:val="5A5A5A"/>
          <w:sz w:val="18"/>
        </w:rPr>
        <w:t xml:space="preserve"> (2020.03)</w:t>
      </w:r>
    </w:p>
    <w:p>
      <w:pPr>
        <w:spacing w:before="320" w:after="120" w:line="324" w:lineRule="auto"/>
        <w:jc w:val="left"/>
        <w:pBdr>
          <w:bottom w:val="single" w:sz="4" w:space="4" w:color="080808"/>
        </w:pBdr>
      </w:pPr>
      <w:r>
        <w:rPr>
          <w:rFonts w:ascii="PingFang SC" w:hAnsi="PingFang SC" w:eastAsia="PingFang SC"/>
          <w:b/>
          <w:color w:val="080808"/>
          <w:sz w:val="40"/>
        </w:rPr>
        <w:t>教育背景</w:t>
      </w:r>
    </w:p>
    <w:p>
      <w:pPr>
        <w:spacing w:after="80"/>
      </w:pPr>
      <w:r>
        <w:rPr>
          <w:rFonts w:ascii="PingFang SC" w:hAnsi="PingFang SC" w:eastAsia="PingFang SC"/>
          <w:b/>
          <w:color w:val="080808"/>
          <w:sz w:val="28"/>
        </w:rPr>
        <w:t>上海交通大学</w:t>
      </w:r>
      <w:r>
        <w:rPr>
          <w:rFonts w:ascii="PingFang SC" w:hAnsi="PingFang SC" w:eastAsia="PingFang SC"/>
          <w:b/>
          <w:color w:val="146EF5"/>
          <w:sz w:val="20"/>
        </w:rPr>
        <w:t xml:space="preserve">  【985/211】</w:t>
      </w:r>
      <w:r>
        <w:rPr>
          <w:rFonts w:ascii="PingFang SC" w:hAnsi="PingFang SC" w:eastAsia="PingFang SC"/>
          <w:b w:val="0"/>
          <w:color w:val="5A5A5A"/>
          <w:sz w:val="20"/>
        </w:rPr>
        <w:t xml:space="preserve">    2013 – 2017</w:t>
      </w:r>
    </w:p>
    <w:p>
      <w:pPr>
        <w:spacing w:before="0" w:after="0" w:line="324" w:lineRule="auto"/>
        <w:jc w:val="left"/>
      </w:pPr>
      <w:r>
        <w:rPr>
          <w:rFonts w:ascii="PingFang SC" w:hAnsi="PingFang SC" w:eastAsia="PingFang SC"/>
          <w:b w:val="0"/>
          <w:color w:val="080808"/>
          <w:sz w:val="22"/>
        </w:rPr>
        <w:t>计算机科学与技术本科</w:t>
      </w:r>
    </w:p>
    <w:sectPr w:rsidR="00FC693F" w:rsidRPr="0006063C" w:rsidSect="00034616">
      <w:pgSz w:w="11906" w:h="16838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