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587"/>
        <w:gridCol w:w="8504"/>
      </w:tblGrid>
      <w:tr>
        <w:tc>
          <w:tcPr>
            <w:tcW w:type="dxa" w:w="1587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864000" cy="86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86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933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71717"/>
                <w:sz w:val="64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71717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4D4D4D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717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171717"/>
        </w:pBdr>
      </w:pPr>
    </w:p>
    <w:p>
      <w:pPr>
        <w:spacing w:before="320" w:after="120" w:line="324" w:lineRule="auto"/>
        <w:jc w:val="left"/>
        <w:pBdr>
          <w:bottom w:val="single" w:sz="8" w:space="4" w:color="171717"/>
        </w:pBdr>
      </w:pPr>
      <w:r>
        <w:rPr>
          <w:rFonts w:ascii="PingFang SC" w:hAnsi="PingFang SC" w:eastAsia="PingFang SC"/>
          <w:b/>
          <w:color w:val="171717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171717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71717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717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171717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171717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71717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717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171717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171717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71717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717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171717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71717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717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171717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71717"/>
        </w:pBdr>
      </w:pPr>
      <w:r>
        <w:rPr>
          <w:rFonts w:ascii="PingFang SC" w:hAnsi="PingFang SC" w:eastAsia="PingFang SC"/>
          <w:b/>
          <w:color w:val="171717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2"/>
              </w:rPr>
              <w:t>API响应延迟优化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2"/>
              </w:rPr>
              <w:t>P99从800ms降至50ms（16倍提升）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2"/>
              </w:rPr>
              <w:t>容器化部署效率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2"/>
              </w:rPr>
              <w:t>从周级发布到日级发布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2"/>
              </w:rPr>
              <w:t>系统可用性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2"/>
              </w:rPr>
              <w:t>99.99% SLA达成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2"/>
              </w:rPr>
              <w:t>成本优化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2"/>
              </w:rPr>
              <w:t>云资源成本降低40%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2"/>
              </w:rPr>
              <w:t>团队技术影响力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71717"/>
        </w:pBdr>
      </w:pPr>
      <w:r>
        <w:rPr>
          <w:rFonts w:ascii="PingFang SC" w:hAnsi="PingFang SC" w:eastAsia="PingFang SC"/>
          <w:b/>
          <w:color w:val="171717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933"/>
            <w:shd w:val="clear" w:color="auto" w:fill="ffffff"/>
            <w:tcBorders>
              <w:left w:val="single" w:sz="8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0"/>
              </w:rPr>
              <w:t>开源项目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0072F5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933"/>
            <w:shd w:val="clear" w:color="auto" w:fill="ffffff"/>
            <w:tcBorders>
              <w:left w:val="single" w:sz="8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0"/>
              </w:rPr>
              <w:t>技术专利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0072F5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71717"/>
        </w:pBdr>
      </w:pPr>
      <w:r>
        <w:rPr>
          <w:rFonts w:ascii="PingFang SC" w:hAnsi="PingFang SC" w:eastAsia="PingFang SC"/>
          <w:b/>
          <w:color w:val="171717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0"/>
              </w:rPr>
              <w:t>云平台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717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0"/>
              </w:rPr>
              <w:t>后端开发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717"/>
                <w:sz w:val="20"/>
              </w:rPr>
              <w:t>Go · Java · Python · Rust · Node.js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0"/>
              </w:rPr>
              <w:t>微服务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717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0"/>
              </w:rPr>
              <w:t>数据存储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717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0"/>
              </w:rPr>
              <w:t>消息队列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717"/>
                <w:sz w:val="20"/>
              </w:rPr>
              <w:t>Kafka · RabbitMQ · Pulsar · NATS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0"/>
              </w:rPr>
              <w:t>监控可观测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717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0"/>
              </w:rPr>
              <w:t>CI/CD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717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0"/>
              </w:rPr>
              <w:t>开发框架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717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71717"/>
        </w:pBdr>
      </w:pPr>
      <w:r>
        <w:rPr>
          <w:rFonts w:ascii="PingFang SC" w:hAnsi="PingFang SC" w:eastAsia="PingFang SC"/>
          <w:b/>
          <w:color w:val="171717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171717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4D4D4D"/>
          <w:sz w:val="20"/>
        </w:rPr>
        <w:t xml:space="preserve">  |  开源项目  2025.01 – 至今</w:t>
      </w:r>
    </w:p>
    <w:p>
      <w:pPr>
        <w:spacing w:after="40" w:line="374" w:lineRule="auto"/>
        <w:ind w:left="576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171717"/>
          <w:sz w:val="20"/>
        </w:rPr>
        <w:t>58个品牌设计风格</w:t>
      </w:r>
      <w:r>
        <w:rPr>
          <w:rFonts w:ascii="PingFang SC" w:hAnsi="PingFang SC" w:eastAsia="PingFang SC"/>
          <w:b w:val="0"/>
          <w:color w:val="171717"/>
          <w:sz w:val="20"/>
        </w:rPr>
        <w:t>（Apple/Tesla/Stripe/Vercel等）</w:t>
      </w:r>
    </w:p>
    <w:p>
      <w:pPr>
        <w:spacing w:after="40" w:line="374" w:lineRule="auto"/>
        <w:ind w:left="576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171717"/>
          <w:sz w:val="20"/>
        </w:rPr>
        <w:t>HTML/PDF/DOCX</w:t>
      </w:r>
      <w:r>
        <w:rPr>
          <w:rFonts w:ascii="PingFang SC" w:hAnsi="PingFang SC" w:eastAsia="PingFang SC"/>
          <w:b w:val="0"/>
          <w:color w:val="171717"/>
          <w:sz w:val="20"/>
        </w:rPr>
        <w:t>三种格式，中英双语支持</w:t>
      </w:r>
    </w:p>
    <w:p>
      <w:pPr>
        <w:spacing w:after="40" w:line="374" w:lineRule="auto"/>
        <w:ind w:left="576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模块化架构设计：内容与样式分离，主题配置热插拔，支持自定义品牌扩展</w:t>
      </w:r>
    </w:p>
    <w:p>
      <w:pPr>
        <w:spacing w:after="40" w:line="374" w:lineRule="auto"/>
        <w:ind w:left="576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171717"/>
        </w:pBdr>
      </w:pPr>
      <w:r>
        <w:rPr>
          <w:rFonts w:ascii="PingFang SC" w:hAnsi="PingFang SC" w:eastAsia="PingFang SC"/>
          <w:b/>
          <w:color w:val="171717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171717"/>
          <w:sz w:val="28"/>
        </w:rPr>
        <w:t>星辰科技集团</w:t>
      </w:r>
      <w:r>
        <w:rPr>
          <w:rFonts w:ascii="PingFang SC" w:hAnsi="PingFang SC" w:eastAsia="PingFang SC"/>
          <w:b w:val="0"/>
          <w:color w:val="4D4D4D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171717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4D4D4D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4D4D4D"/>
          <w:sz w:val="20"/>
        </w:rPr>
        <w:t>12人团队</w:t>
      </w:r>
      <w:r>
        <w:rPr>
          <w:rFonts w:ascii="PingFang SC" w:hAnsi="PingFang SC" w:eastAsia="PingFang SC"/>
          <w:b w:val="0"/>
          <w:color w:val="4D4D4D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4D4D4D"/>
          <w:sz w:val="20"/>
        </w:rPr>
        <w:t>3倍增长</w:t>
      </w:r>
      <w:r>
        <w:rPr>
          <w:rFonts w:ascii="PingFang SC" w:hAnsi="PingFang SC" w:eastAsia="PingFang SC"/>
          <w:b w:val="0"/>
          <w:color w:val="4D4D4D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71717"/>
          <w:sz w:val="20"/>
        </w:rPr>
        <w:t>▸ 云原生架构转型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主导单体应用拆分为</w:t>
      </w:r>
      <w:r>
        <w:rPr>
          <w:rFonts w:ascii="PingFang SC" w:hAnsi="PingFang SC" w:eastAsia="PingFang SC"/>
          <w:b/>
          <w:color w:val="171717"/>
          <w:sz w:val="20"/>
        </w:rPr>
        <w:t>30+微服务</w:t>
      </w:r>
      <w:r>
        <w:rPr>
          <w:rFonts w:ascii="PingFang SC" w:hAnsi="PingFang SC" w:eastAsia="PingFang SC"/>
          <w:b w:val="0"/>
          <w:color w:val="171717"/>
          <w:sz w:val="20"/>
        </w:rPr>
        <w:t>，采用Service Mesh架构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建立GitOps发布流程，实现</w:t>
      </w:r>
      <w:r>
        <w:rPr>
          <w:rFonts w:ascii="PingFang SC" w:hAnsi="PingFang SC" w:eastAsia="PingFang SC"/>
          <w:b/>
          <w:color w:val="171717"/>
          <w:sz w:val="20"/>
        </w:rPr>
        <w:t>日级迭代</w:t>
      </w:r>
      <w:r>
        <w:rPr>
          <w:rFonts w:ascii="PingFang SC" w:hAnsi="PingFang SC" w:eastAsia="PingFang SC"/>
          <w:b w:val="0"/>
          <w:color w:val="171717"/>
          <w:sz w:val="20"/>
        </w:rPr>
        <w:t>能力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系统可用性从99.5%提升至</w:t>
      </w:r>
      <w:r>
        <w:rPr>
          <w:rFonts w:ascii="PingFang SC" w:hAnsi="PingFang SC" w:eastAsia="PingFang SC"/>
          <w:b/>
          <w:color w:val="171717"/>
          <w:sz w:val="20"/>
        </w:rPr>
        <w:t>99.99%</w:t>
      </w:r>
      <w:r>
        <w:rPr>
          <w:rFonts w:ascii="PingFang SC" w:hAnsi="PingFang SC" w:eastAsia="PingFang SC"/>
          <w:b w:val="0"/>
          <w:color w:val="171717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71717"/>
          <w:sz w:val="20"/>
        </w:rPr>
        <w:t>▸ 高并发交易系统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171717"/>
          <w:sz w:val="20"/>
        </w:rPr>
        <w:t>日均千万订单</w:t>
      </w:r>
      <w:r>
        <w:rPr>
          <w:rFonts w:ascii="PingFang SC" w:hAnsi="PingFang SC" w:eastAsia="PingFang SC"/>
          <w:b w:val="0"/>
          <w:color w:val="171717"/>
          <w:sz w:val="20"/>
        </w:rPr>
        <w:t>处理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API P99延迟从800ms优化至</w:t>
      </w:r>
      <w:r>
        <w:rPr>
          <w:rFonts w:ascii="PingFang SC" w:hAnsi="PingFang SC" w:eastAsia="PingFang SC"/>
          <w:b/>
          <w:color w:val="171717"/>
          <w:sz w:val="20"/>
        </w:rPr>
        <w:t>50ms</w:t>
      </w:r>
      <w:r>
        <w:rPr>
          <w:rFonts w:ascii="PingFang SC" w:hAnsi="PingFang SC" w:eastAsia="PingFang SC"/>
          <w:b w:val="0"/>
          <w:color w:val="171717"/>
          <w:sz w:val="20"/>
        </w:rPr>
        <w:t>，QPS峰值提升至</w:t>
      </w:r>
      <w:r>
        <w:rPr>
          <w:rFonts w:ascii="PingFang SC" w:hAnsi="PingFang SC" w:eastAsia="PingFang SC"/>
          <w:b/>
          <w:color w:val="171717"/>
          <w:sz w:val="20"/>
        </w:rPr>
        <w:t>50000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171717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71717"/>
          <w:sz w:val="20"/>
        </w:rPr>
        <w:t>▸ 数据平台建设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构建实时数据管道，支持</w:t>
      </w:r>
      <w:r>
        <w:rPr>
          <w:rFonts w:ascii="PingFang SC" w:hAnsi="PingFang SC" w:eastAsia="PingFang SC"/>
          <w:b/>
          <w:color w:val="171717"/>
          <w:sz w:val="20"/>
        </w:rPr>
        <w:t>PB级</w:t>
      </w:r>
      <w:r>
        <w:rPr>
          <w:rFonts w:ascii="PingFang SC" w:hAnsi="PingFang SC" w:eastAsia="PingFang SC"/>
          <w:b w:val="0"/>
          <w:color w:val="171717"/>
          <w:sz w:val="20"/>
        </w:rPr>
        <w:t>数据处理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171717"/>
          <w:sz w:val="20"/>
        </w:rPr>
        <w:t>100倍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171717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71717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4D4D4D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171717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4D4D4D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71717"/>
          <w:sz w:val="20"/>
        </w:rPr>
        <w:t>▸ AI推理服务平台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设计模型服务网关，支持</w:t>
      </w:r>
      <w:r>
        <w:rPr>
          <w:rFonts w:ascii="PingFang SC" w:hAnsi="PingFang SC" w:eastAsia="PingFang SC"/>
          <w:b/>
          <w:color w:val="171717"/>
          <w:sz w:val="20"/>
        </w:rPr>
        <w:t>100+AI模型</w:t>
      </w:r>
      <w:r>
        <w:rPr>
          <w:rFonts w:ascii="PingFang SC" w:hAnsi="PingFang SC" w:eastAsia="PingFang SC"/>
          <w:b w:val="0"/>
          <w:color w:val="171717"/>
          <w:sz w:val="20"/>
        </w:rPr>
        <w:t>动态调度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171717"/>
          <w:sz w:val="20"/>
        </w:rPr>
        <w:t>85%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71717"/>
          <w:sz w:val="20"/>
        </w:rPr>
        <w:t>▸ 实时特征计算系统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171717"/>
          <w:sz w:val="20"/>
        </w:rPr>
        <w:t>毫秒级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171717"/>
          <w:sz w:val="20"/>
        </w:rPr>
        <w:t>亿级特征</w:t>
      </w:r>
      <w:r>
        <w:rPr>
          <w:rFonts w:ascii="PingFang SC" w:hAnsi="PingFang SC" w:eastAsia="PingFang SC"/>
          <w:b w:val="0"/>
          <w:color w:val="171717"/>
          <w:sz w:val="20"/>
        </w:rPr>
        <w:t>实时查询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系统支撑</w:t>
      </w:r>
      <w:r>
        <w:rPr>
          <w:rFonts w:ascii="PingFang SC" w:hAnsi="PingFang SC" w:eastAsia="PingFang SC"/>
          <w:b/>
          <w:color w:val="171717"/>
          <w:sz w:val="20"/>
        </w:rPr>
        <w:t>千万级日活</w:t>
      </w:r>
      <w:r>
        <w:rPr>
          <w:rFonts w:ascii="PingFang SC" w:hAnsi="PingFang SC" w:eastAsia="PingFang SC"/>
          <w:b w:val="0"/>
          <w:color w:val="171717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71717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4D4D4D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171717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171717"/>
          <w:sz w:val="20"/>
        </w:rPr>
        <w:t>▸ 电商平台后端服务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171717"/>
          <w:sz w:val="20"/>
        </w:rPr>
        <w:t>百万级日订单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设计分布式锁方案，解决库存超卖问题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171717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8" w:space="4" w:color="171717"/>
        </w:pBdr>
      </w:pPr>
      <w:r>
        <w:rPr>
          <w:rFonts w:ascii="PingFang SC" w:hAnsi="PingFang SC" w:eastAsia="PingFang SC"/>
          <w:b/>
          <w:color w:val="171717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171717"/>
          <w:sz w:val="20"/>
        </w:rPr>
        <w:t>CKA认证</w:t>
      </w:r>
      <w:r>
        <w:rPr>
          <w:rFonts w:ascii="PingFang SC" w:hAnsi="PingFang SC" w:eastAsia="PingFang SC"/>
          <w:b w:val="0"/>
          <w:color w:val="4D4D4D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71717"/>
          <w:sz w:val="20"/>
        </w:rPr>
        <w:t>AWS解决方案架构师</w:t>
      </w:r>
      <w:r>
        <w:rPr>
          <w:rFonts w:ascii="PingFang SC" w:hAnsi="PingFang SC" w:eastAsia="PingFang SC"/>
          <w:b w:val="0"/>
          <w:color w:val="4D4D4D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71717"/>
          <w:sz w:val="20"/>
        </w:rPr>
        <w:t>GCP专业云架构师</w:t>
      </w:r>
      <w:r>
        <w:rPr>
          <w:rFonts w:ascii="PingFang SC" w:hAnsi="PingFang SC" w:eastAsia="PingFang SC"/>
          <w:b w:val="0"/>
          <w:color w:val="4D4D4D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71717"/>
          <w:sz w:val="20"/>
        </w:rPr>
        <w:t>阿里云ACE</w:t>
      </w:r>
      <w:r>
        <w:rPr>
          <w:rFonts w:ascii="PingFang SC" w:hAnsi="PingFang SC" w:eastAsia="PingFang SC"/>
          <w:b w:val="0"/>
          <w:color w:val="4D4D4D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71717"/>
          <w:sz w:val="20"/>
        </w:rPr>
        <w:t>PMP项目管理</w:t>
      </w:r>
      <w:r>
        <w:rPr>
          <w:rFonts w:ascii="PingFang SC" w:hAnsi="PingFang SC" w:eastAsia="PingFang SC"/>
          <w:b w:val="0"/>
          <w:color w:val="4D4D4D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bottom w:val="single" w:sz="8" w:space="4" w:color="171717"/>
        </w:pBdr>
      </w:pPr>
      <w:r>
        <w:rPr>
          <w:rFonts w:ascii="PingFang SC" w:hAnsi="PingFang SC" w:eastAsia="PingFang SC"/>
          <w:b/>
          <w:color w:val="171717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171717"/>
          <w:sz w:val="28"/>
        </w:rPr>
        <w:t>上海交通大学</w:t>
      </w:r>
      <w:r>
        <w:rPr>
          <w:rFonts w:ascii="PingFang SC" w:hAnsi="PingFang SC" w:eastAsia="PingFang SC"/>
          <w:b/>
          <w:color w:val="171717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4D4D4D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171717"/>
          <w:sz w:val="22"/>
        </w:rPr>
        <w:t>计算机科学与技术本科</w:t>
      </w:r>
    </w:p>
    <w:sectPr w:rsidR="00FC693F" w:rsidRPr="0006063C" w:rsidSect="00034616">
      <w:pgSz w:w="11906" w:h="16838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