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EA2804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646464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202020"/>
        </w:pBdr>
      </w:pP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EA2804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20202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20202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20202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5f5f7"/>
            <w:tcBorders>
              <w:left w:val="single" w:sz="4" w:color="ea2804"/>
            </w:tcBorders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202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20202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2020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202020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CFCFC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CFCFC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EA2804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202020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CFCFC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CFCFC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EA2804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EA2804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20202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20202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|  Open Source Project  Jan 2025 – Present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20202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(Apple/Tesla/Stripe/Vercel etc.)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202020"/>
          <w:sz w:val="20"/>
        </w:rPr>
        <w:t>HTML/PDF/DOCX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formats, bilingual support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Modular architecture: content-style separation, hot-pluggable themes, extensible brand customization</w:t>
      </w:r>
    </w:p>
    <w:p>
      <w:pPr>
        <w:spacing w:after="60" w:line="312" w:lineRule="auto"/>
        <w:ind w:left="576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202020"/>
          <w:sz w:val="28"/>
        </w:rPr>
        <w:t>StarTech Group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EA2804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6464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646464"/>
          <w:sz w:val="20"/>
        </w:rPr>
        <w:t>12-person team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646464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646464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Cloud Native Architecture Transformation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20202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with Service Mesh architecture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20202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capability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202020"/>
          <w:sz w:val="20"/>
        </w:rPr>
        <w:t>99.99%</w:t>
      </w:r>
      <w:r>
        <w:rPr>
          <w:rFonts w:ascii="Helvetica Neue" w:hAnsi="Helvetica Neue" w:eastAsia="Helvetica Neue"/>
          <w:b w:val="0"/>
          <w:color w:val="20202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High-Concurrency Trading System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202020"/>
          <w:sz w:val="20"/>
        </w:rPr>
        <w:t>10M+ daily orders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202020"/>
          <w:sz w:val="20"/>
        </w:rPr>
        <w:t>50ms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202020"/>
          <w:sz w:val="20"/>
        </w:rPr>
        <w:t>50,000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20202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Data Platform Construction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202020"/>
          <w:sz w:val="20"/>
        </w:rPr>
        <w:t>PB-scale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data processing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202020"/>
          <w:sz w:val="20"/>
        </w:rPr>
        <w:t>100×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20202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202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EA2804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646464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AI Inference Service Platform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202020"/>
          <w:sz w:val="20"/>
        </w:rPr>
        <w:t>100+ AI models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dynamic scheduling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202020"/>
          <w:sz w:val="20"/>
        </w:rPr>
        <w:t>85%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Real-time Feature Computation System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202020"/>
          <w:sz w:val="20"/>
        </w:rPr>
        <w:t>milliseconds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202020"/>
          <w:sz w:val="20"/>
        </w:rPr>
        <w:t>billion-scale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real-time queries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202020"/>
          <w:sz w:val="20"/>
        </w:rPr>
        <w:t>10M+ DAU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20202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EA2804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202020"/>
          <w:sz w:val="20"/>
        </w:rPr>
        <w:t>▸ E-commerce Platform Backend Services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202020"/>
          <w:sz w:val="20"/>
        </w:rPr>
        <w:t>1M+ daily orders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>Designed distributed lock solution, resolved inventory overselling issue</w:t>
      </w:r>
    </w:p>
    <w:p>
      <w:pPr>
        <w:spacing w:after="60" w:line="312" w:lineRule="auto"/>
        <w:ind w:left="720"/>
      </w:pPr>
      <w:r>
        <w:rPr>
          <w:rFonts w:ascii="Helvetica Neue" w:hAnsi="Helvetica Neue" w:eastAsia="Helvetica Neue"/>
          <w:b/>
          <w:color w:val="EA2804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20202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202020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202020"/>
          <w:sz w:val="20"/>
        </w:rPr>
        <w:t>CKA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202020"/>
          <w:sz w:val="20"/>
        </w:rPr>
        <w:t>PMP</w:t>
      </w:r>
      <w:r>
        <w:rPr>
          <w:rFonts w:ascii="Helvetica Neue" w:hAnsi="Helvetica Neue" w:eastAsia="Helvetica Neue"/>
          <w:b w:val="0"/>
          <w:color w:val="646464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202020"/>
        </w:pBdr>
      </w:pPr>
      <w:r>
        <w:rPr>
          <w:rFonts w:ascii="Helvetica Neue" w:hAnsi="Helvetica Neue" w:eastAsia="Helvetica Neue"/>
          <w:b/>
          <w:color w:val="202020"/>
          <w:sz w:val="44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20202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EA2804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646464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202020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