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pn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1814"/>
        <w:gridCol w:w="8277"/>
      </w:tblGrid>
      <w:tr>
        <w:tc>
          <w:tcPr>
            <w:tcW w:type="dxa" w:w="1814"/>
            <w:vAlign w:val="center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007999" cy="10079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avatar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999" cy="10079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819"/>
            <w:vAlign w:val="center"/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C1C1E"/>
                <w:sz w:val="64"/>
              </w:rPr>
              <w:t>Alice Chen</w:t>
            </w:r>
          </w:p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5B76FE"/>
                <w:sz w:val="28"/>
              </w:rPr>
              <w:t>Senior Backend Engineer</w:t>
            </w:r>
          </w:p>
          <w:p>
            <w:pPr>
              <w:spacing w:after="120"/>
            </w:pPr>
            <w:r>
              <w:rPr>
                <w:rFonts w:ascii="Helvetica Neue" w:hAnsi="Helvetica Neue" w:eastAsia="Helvetica Neue"/>
                <w:b w:val="0"/>
                <w:color w:val="555A6A"/>
                <w:sz w:val="22"/>
              </w:rPr>
              <w:t>8 Years Microservices Architecture · Cloud Native Expert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E"/>
                <w:sz w:val="20"/>
              </w:rPr>
              <w:t>Shanghai, China   ·   +86 13800138000   ·   alice.chen@example.com   ·   github.com/alicechenxxxxxxx</w:t>
            </w:r>
          </w:p>
        </w:tc>
      </w:tr>
    </w:tbl>
    <w:p>
      <w:pPr>
        <w:spacing w:before="160" w:after="160" w:line="324" w:lineRule="auto"/>
        <w:jc w:val="left"/>
        <w:pBdr>
          <w:bottom w:val="single" w:sz="8" w:space="4" w:color="c7cad5"/>
        </w:pBdr>
      </w:pPr>
    </w:p>
    <w:p>
      <w:pPr>
        <w:spacing w:before="320" w:after="120" w:line="324" w:lineRule="auto"/>
        <w:jc w:val="left"/>
        <w:pBdr>
          <w:bottom w:val="single" w:sz="6" w:space="4" w:color="1c1c1e"/>
        </w:pBdr>
      </w:pPr>
      <w:r>
        <w:rPr>
          <w:rFonts w:ascii="Helvetica Neue" w:hAnsi="Helvetica Neue" w:eastAsia="Helvetica Neue"/>
          <w:b/>
          <w:color w:val="1C1C1E"/>
          <w:sz w:val="40"/>
        </w:rPr>
        <w:t>Core Strengths</w:t>
      </w:r>
    </w:p>
    <w:p>
      <w:pPr>
        <w:spacing w:before="0" w:after="200" w:line="324" w:lineRule="auto"/>
        <w:jc w:val="center"/>
      </w:pPr>
      <w:r>
        <w:rPr>
          <w:rFonts w:ascii="Helvetica Neue" w:hAnsi="Helvetica Neue" w:eastAsia="Helvetica Neue"/>
          <w:b/>
          <w:color w:val="5B76FE"/>
          <w:sz w:val="24"/>
        </w:rPr>
        <w:t>8 Years Distributed Systems | Cloud Native Architecture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C1C1E"/>
                <w:sz w:val="24"/>
              </w:rPr>
              <w:t>Microservices Architecture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E"/>
                <w:sz w:val="20"/>
              </w:rPr>
              <w:t xml:space="preserve">Led enterprise microservices architecture design and implementation, supporting </w:t>
            </w:r>
            <w:r>
              <w:rPr>
                <w:rFonts w:ascii="Helvetica Neue" w:hAnsi="Helvetica Neue" w:eastAsia="Helvetica Neue"/>
                <w:b/>
                <w:color w:val="1C1C1E"/>
                <w:sz w:val="20"/>
              </w:rPr>
              <w:t>10M+ daily requests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C1C1E"/>
                <w:sz w:val="24"/>
              </w:rPr>
              <w:t>High-Concurrency Systems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E"/>
                <w:sz w:val="20"/>
              </w:rPr>
              <w:t xml:space="preserve">Built distributed task scheduling framework, achieved </w:t>
            </w:r>
            <w:r>
              <w:rPr>
                <w:rFonts w:ascii="Helvetica Neue" w:hAnsi="Helvetica Neue" w:eastAsia="Helvetica Neue"/>
                <w:b/>
                <w:color w:val="1C1C1E"/>
                <w:sz w:val="20"/>
              </w:rPr>
              <w:t>5000+ GitHub Stars</w:t>
            </w:r>
            <w:r>
              <w:rPr>
                <w:rFonts w:ascii="Helvetica Neue" w:hAnsi="Helvetica Neue" w:eastAsia="Helvetica Neue"/>
                <w:b w:val="0"/>
                <w:color w:val="1C1C1E"/>
                <w:sz w:val="20"/>
              </w:rPr>
              <w:t xml:space="preserve"> from open source community</w:t>
            </w:r>
          </w:p>
        </w:tc>
      </w:tr>
      <w:tr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C1C1E"/>
                <w:sz w:val="24"/>
              </w:rPr>
              <w:t>Cloud Native Migration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E"/>
                <w:sz w:val="20"/>
              </w:rPr>
              <w:t xml:space="preserve">Completed smooth migration from monolithic to cloud-native architecture, deployment efficiency improved </w:t>
            </w:r>
            <w:r>
              <w:rPr>
                <w:rFonts w:ascii="Helvetica Neue" w:hAnsi="Helvetica Neue" w:eastAsia="Helvetica Neue"/>
                <w:b/>
                <w:color w:val="1C1C1E"/>
                <w:sz w:val="20"/>
              </w:rPr>
              <w:t>10×</w:t>
            </w:r>
          </w:p>
        </w:tc>
        <w:tc>
          <w:tcPr>
            <w:tcW w:type="dxa" w:w="4819"/>
            <w:shd w:val="clear" w:color="auto" w:fill="ffffff"/>
            <w:tcMar>
              <w:top w:w="150" w:type="dxa"/>
              <w:left w:w="200" w:type="dxa"/>
              <w:bottom w:w="150" w:type="dxa"/>
              <w:right w:w="200" w:type="dxa"/>
            </w:tcMar>
          </w:tcPr>
          <w:p>
            <w:pPr>
              <w:spacing w:after="80"/>
            </w:pPr>
            <w:r>
              <w:rPr>
                <w:rFonts w:ascii="Helvetica Neue" w:hAnsi="Helvetica Neue" w:eastAsia="Helvetica Neue"/>
                <w:b/>
                <w:color w:val="1C1C1E"/>
                <w:sz w:val="24"/>
              </w:rPr>
              <w:t>Open Source Contributions</w:t>
            </w:r>
          </w:p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E"/>
                <w:sz w:val="20"/>
              </w:rPr>
              <w:t xml:space="preserve">Certifications: </w:t>
            </w:r>
            <w:r>
              <w:rPr>
                <w:rFonts w:ascii="Helvetica Neue" w:hAnsi="Helvetica Neue" w:eastAsia="Helvetica Neue"/>
                <w:b/>
                <w:color w:val="1C1C1E"/>
                <w:sz w:val="20"/>
              </w:rPr>
              <w:t>CKA · AWS SAA · GCP Professional Cloud Architect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c1c1e"/>
        </w:pBdr>
      </w:pPr>
      <w:r>
        <w:rPr>
          <w:rFonts w:ascii="Helvetica Neue" w:hAnsi="Helvetica Neue" w:eastAsia="Helvetica Neue"/>
          <w:b/>
          <w:color w:val="1C1C1E"/>
          <w:sz w:val="40"/>
        </w:rPr>
        <w:t>Key Achievements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685"/>
        <w:gridCol w:w="5953"/>
      </w:tblGrid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E"/>
                <w:sz w:val="22"/>
              </w:rPr>
              <w:t>API Latency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B76FE"/>
                <w:sz w:val="22"/>
              </w:rPr>
              <w:t>P99 from 800ms to 50ms (16× improvement)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E"/>
                <w:sz w:val="22"/>
              </w:rPr>
              <w:t>Containerization Efficiency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B76FE"/>
                <w:sz w:val="22"/>
              </w:rPr>
              <w:t>From weekly to daily releases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E"/>
                <w:sz w:val="22"/>
              </w:rPr>
              <w:t>System Availability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B76FE"/>
                <w:sz w:val="22"/>
              </w:rPr>
              <w:t>99.99% SLA achieved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E"/>
                <w:sz w:val="22"/>
              </w:rPr>
              <w:t>Cost Optimization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B76FE"/>
                <w:sz w:val="22"/>
              </w:rPr>
              <w:t>Cloud resource cost reduced by 40%</w:t>
            </w:r>
          </w:p>
        </w:tc>
      </w:tr>
      <w:tr>
        <w:tc>
          <w:tcPr>
            <w:tcW w:type="dxa" w:w="4819"/>
            <w:shd w:val="clear" w:color="auto" w:fill="f5f5f7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E"/>
                <w:sz w:val="22"/>
              </w:rPr>
              <w:t>Technical Influence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B76FE"/>
                <w:sz w:val="22"/>
              </w:rPr>
              <w:t>30+ internal tech talks delivered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c1c1e"/>
        </w:pBdr>
      </w:pPr>
      <w:r>
        <w:rPr>
          <w:rFonts w:ascii="Helvetica Neue" w:hAnsi="Helvetica Neue" w:eastAsia="Helvetica Neue"/>
          <w:b/>
          <w:color w:val="1C1C1E"/>
          <w:sz w:val="40"/>
        </w:rPr>
        <w:t>Open Source &amp; Patents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268"/>
        <w:gridCol w:w="7370"/>
      </w:tblGrid>
      <w:tr>
        <w:tc>
          <w:tcPr>
            <w:tcW w:type="dxa" w:w="4819"/>
            <w:shd w:val="clear" w:color="auto" w:fill="ffc6c6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E"/>
                <w:sz w:val="20"/>
              </w:rPr>
              <w:t>Open Source Project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E"/>
                <w:sz w:val="20"/>
              </w:rPr>
              <w:t>CloudFlow - Distributed Task Scheduling Framework</w:t>
            </w:r>
            <w:r>
              <w:rPr>
                <w:rFonts w:ascii="Helvetica Neue" w:hAnsi="Helvetica Neue" w:eastAsia="Helvetica Neue"/>
                <w:b w:val="0"/>
                <w:color w:val="5B76FE"/>
                <w:sz w:val="20"/>
              </w:rPr>
              <w:t xml:space="preserve">  ·  GitHub 5000+ Stars</w:t>
            </w:r>
          </w:p>
        </w:tc>
      </w:tr>
      <w:tr>
        <w:tc>
          <w:tcPr>
            <w:tcW w:type="dxa" w:w="4819"/>
            <w:shd w:val="clear" w:color="auto" w:fill="ffc6c6"/>
            <w:tcBorders>
              <w:left w:val="single" w:sz="6" w:color="primary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E"/>
                <w:sz w:val="20"/>
              </w:rPr>
              <w:t>Technical Patent</w:t>
            </w:r>
          </w:p>
        </w:tc>
        <w:tc>
          <w:tcPr>
            <w:tcW w:type="dxa" w:w="4819"/>
            <w:tcMar>
              <w:top w:w="100" w:type="dxa"/>
              <w:left w:w="150" w:type="dxa"/>
              <w:bottom w:w="100" w:type="dxa"/>
              <w:right w:w="15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1C1C1E"/>
                <w:sz w:val="20"/>
              </w:rPr>
              <w:t>Stream-based Resource Scheduling Method</w:t>
            </w:r>
            <w:r>
              <w:rPr>
                <w:rFonts w:ascii="Helvetica Neue" w:hAnsi="Helvetica Neue" w:eastAsia="Helvetica Neue"/>
                <w:b w:val="0"/>
                <w:color w:val="5B76FE"/>
                <w:sz w:val="20"/>
              </w:rPr>
              <w:t xml:space="preserve">  ·  CN202310XXXXXX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c1c1e"/>
        </w:pBdr>
      </w:pPr>
      <w:r>
        <w:rPr>
          <w:rFonts w:ascii="Helvetica Neue" w:hAnsi="Helvetica Neue" w:eastAsia="Helvetica Neue"/>
          <w:b/>
          <w:color w:val="1C1C1E"/>
          <w:sz w:val="40"/>
        </w:rPr>
        <w:t>Tech Stack</w:t>
      </w:r>
    </w:p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2551"/>
        <w:gridCol w:w="7087"/>
      </w:tblGrid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B76FE"/>
                <w:sz w:val="20"/>
              </w:rPr>
              <w:t>CLOUD PLATFORMS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E"/>
                <w:sz w:val="20"/>
              </w:rPr>
              <w:t>AWS · GCP · Alibaba Cloud · Kubernetes · Docker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B76FE"/>
                <w:sz w:val="20"/>
              </w:rPr>
              <w:t>BACKEND DEVELOPMENT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E"/>
                <w:sz w:val="20"/>
              </w:rPr>
              <w:t>Go · Java · Python · Rust · Node.js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B76FE"/>
                <w:sz w:val="20"/>
              </w:rPr>
              <w:t>MICROSERVICES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E"/>
                <w:sz w:val="20"/>
              </w:rPr>
              <w:t>gRPC · GraphQL · REST API · EventMesh · Nacos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B76FE"/>
                <w:sz w:val="20"/>
              </w:rPr>
              <w:t>DATA STORAGE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E"/>
                <w:sz w:val="20"/>
              </w:rPr>
              <w:t>PostgreSQL · MySQL · Redis · MongoDB · Elasticsearch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B76FE"/>
                <w:sz w:val="20"/>
              </w:rPr>
              <w:t>MESSAGE QUEUES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E"/>
                <w:sz w:val="20"/>
              </w:rPr>
              <w:t>Kafka · RabbitMQ · Pulsar · NATS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B76FE"/>
                <w:sz w:val="20"/>
              </w:rPr>
              <w:t>OBSERVABILITY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E"/>
                <w:sz w:val="20"/>
              </w:rPr>
              <w:t>Prometheus · Grafana · Jaeger · ELK Stack · Datadog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B76FE"/>
                <w:sz w:val="20"/>
              </w:rPr>
              <w:t>CI/CD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E"/>
                <w:sz w:val="20"/>
              </w:rPr>
              <w:t>GitLab CI · ArgoCD · Flux · Jenkins · GitHub Actions</w:t>
            </w:r>
          </w:p>
        </w:tc>
      </w:tr>
      <w:tr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/>
                <w:color w:val="5B76FE"/>
                <w:sz w:val="20"/>
              </w:rPr>
              <w:t>FRAMEWORKS</w:t>
            </w:r>
          </w:p>
        </w:tc>
        <w:tc>
          <w:tcPr>
            <w:tcW w:type="dxa" w:w="4819"/>
            <w:tcMar>
              <w:top w:w="60" w:type="dxa"/>
              <w:left w:w="80" w:type="dxa"/>
              <w:bottom w:w="60" w:type="dxa"/>
              <w:right w:w="80" w:type="dxa"/>
            </w:tcMar>
          </w:tcPr>
          <w:p>
            <w:pPr>
              <w:spacing w:after="0"/>
            </w:pPr>
            <w:r>
              <w:rPr>
                <w:rFonts w:ascii="Helvetica Neue" w:hAnsi="Helvetica Neue" w:eastAsia="Helvetica Neue"/>
                <w:b w:val="0"/>
                <w:color w:val="1C1C1E"/>
                <w:sz w:val="20"/>
              </w:rPr>
              <w:t>Spring Boot · FastAPI · Gin · Django · Echo</w:t>
            </w:r>
          </w:p>
        </w:tc>
      </w:tr>
    </w:tbl>
    <w:p>
      <w:pPr>
        <w:spacing w:before="320" w:after="120" w:line="324" w:lineRule="auto"/>
        <w:jc w:val="left"/>
        <w:pBdr>
          <w:bottom w:val="single" w:sz="6" w:space="4" w:color="1c1c1e"/>
        </w:pBdr>
      </w:pPr>
      <w:r>
        <w:rPr>
          <w:rFonts w:ascii="Helvetica Neue" w:hAnsi="Helvetica Neue" w:eastAsia="Helvetica Neue"/>
          <w:b/>
          <w:color w:val="1C1C1E"/>
          <w:sz w:val="40"/>
        </w:rPr>
        <w:t>Personal Projects</w:t>
      </w:r>
    </w:p>
    <w:p>
      <w:pPr>
        <w:spacing w:after="40"/>
      </w:pPr>
      <w:r>
        <w:rPr>
          <w:rFonts w:ascii="Helvetica Neue" w:hAnsi="Helvetica Neue" w:eastAsia="Helvetica Neue"/>
          <w:b/>
          <w:color w:val="1C1C1E"/>
          <w:sz w:val="24"/>
        </w:rPr>
        <w:t>ResumeForge - Brand-Grade Resume Generator</w:t>
      </w:r>
      <w:r>
        <w:rPr>
          <w:rFonts w:ascii="Helvetica Neue" w:hAnsi="Helvetica Neue" w:eastAsia="Helvetica Neue"/>
          <w:b w:val="0"/>
          <w:color w:val="555A6A"/>
          <w:sz w:val="20"/>
        </w:rPr>
        <w:t xml:space="preserve">  |  Open Source Project  Jan 2025 – Present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Built multi-theme resume generation system from scratch with </w:t>
      </w:r>
      <w:r>
        <w:rPr>
          <w:rFonts w:ascii="Helvetica Neue" w:hAnsi="Helvetica Neue" w:eastAsia="Helvetica Neue"/>
          <w:b/>
          <w:color w:val="1C1C1E"/>
          <w:sz w:val="20"/>
        </w:rPr>
        <w:t>58 brand design styles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 (Apple/Tesla/Stripe/Vercel etc.)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YAML-driven content management, one-click generation of </w:t>
      </w:r>
      <w:r>
        <w:rPr>
          <w:rFonts w:ascii="Helvetica Neue" w:hAnsi="Helvetica Neue" w:eastAsia="Helvetica Neue"/>
          <w:b/>
          <w:color w:val="1C1C1E"/>
          <w:sz w:val="20"/>
        </w:rPr>
        <w:t>HTML/PDF/DOCX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 formats, bilingual support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>Modular architecture: content-style separation, hot-pluggable themes, extensible brand customization</w:t>
      </w:r>
    </w:p>
    <w:p>
      <w:pPr>
        <w:spacing w:after="40" w:line="360" w:lineRule="auto"/>
        <w:ind w:left="576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>Tech stack: Python, Jinja2 templating, python-docx, Chrome Headless PDF rendering</w:t>
      </w:r>
    </w:p>
    <w:p>
      <w:pPr>
        <w:spacing w:after="160"/>
      </w:pPr>
    </w:p>
    <w:p>
      <w:pPr>
        <w:spacing w:before="320" w:after="120" w:line="324" w:lineRule="auto"/>
        <w:jc w:val="left"/>
        <w:pBdr>
          <w:bottom w:val="single" w:sz="6" w:space="4" w:color="1c1c1e"/>
        </w:pBdr>
      </w:pPr>
      <w:r>
        <w:rPr>
          <w:rFonts w:ascii="Helvetica Neue" w:hAnsi="Helvetica Neue" w:eastAsia="Helvetica Neue"/>
          <w:b/>
          <w:color w:val="1C1C1E"/>
          <w:sz w:val="40"/>
        </w:rPr>
        <w:t>Work Experience</w:t>
      </w:r>
    </w:p>
    <w:p>
      <w:pPr>
        <w:spacing w:before="160" w:after="40"/>
      </w:pPr>
      <w:r>
        <w:rPr>
          <w:rFonts w:ascii="Helvetica Neue" w:hAnsi="Helvetica Neue" w:eastAsia="Helvetica Neue"/>
          <w:b/>
          <w:color w:val="1C1C1E"/>
          <w:sz w:val="28"/>
        </w:rPr>
        <w:t>StarTech Group</w:t>
      </w:r>
      <w:r>
        <w:rPr>
          <w:rFonts w:ascii="Helvetica Neue" w:hAnsi="Helvetica Neue" w:eastAsia="Helvetica Neue"/>
          <w:b w:val="0"/>
          <w:color w:val="555A6A"/>
          <w:sz w:val="20"/>
        </w:rPr>
        <w:t xml:space="preserve">    Jun 2022 – Present | Shanghai</w:t>
      </w:r>
    </w:p>
    <w:p>
      <w:pPr>
        <w:spacing w:after="80"/>
      </w:pPr>
      <w:r>
        <w:rPr>
          <w:rFonts w:ascii="Helvetica Neue" w:hAnsi="Helvetica Neue" w:eastAsia="Helvetica Neue"/>
          <w:b/>
          <w:color w:val="5B76FE"/>
          <w:sz w:val="22"/>
        </w:rPr>
        <w:t>Technical Architect · Backend Team Lead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55A6A"/>
          <w:sz w:val="20"/>
        </w:rPr>
        <w:t xml:space="preserve">Led core business system architecture evolution, managing </w:t>
      </w:r>
      <w:r>
        <w:rPr>
          <w:rFonts w:ascii="Helvetica Neue" w:hAnsi="Helvetica Neue" w:eastAsia="Helvetica Neue"/>
          <w:b/>
          <w:color w:val="555A6A"/>
          <w:sz w:val="20"/>
        </w:rPr>
        <w:t>12-person team</w:t>
      </w:r>
      <w:r>
        <w:rPr>
          <w:rFonts w:ascii="Helvetica Neue" w:hAnsi="Helvetica Neue" w:eastAsia="Helvetica Neue"/>
          <w:b w:val="0"/>
          <w:color w:val="555A6A"/>
          <w:sz w:val="20"/>
        </w:rPr>
        <w:t xml:space="preserve"> through cloud-native transformation, supporting </w:t>
      </w:r>
      <w:r>
        <w:rPr>
          <w:rFonts w:ascii="Helvetica Neue" w:hAnsi="Helvetica Neue" w:eastAsia="Helvetica Neue"/>
          <w:b/>
          <w:color w:val="555A6A"/>
          <w:sz w:val="20"/>
        </w:rPr>
        <w:t>3× business growth</w:t>
      </w:r>
      <w:r>
        <w:rPr>
          <w:rFonts w:ascii="Helvetica Neue" w:hAnsi="Helvetica Neue" w:eastAsia="Helvetica Neue"/>
          <w:b w:val="0"/>
          <w:color w:val="555A6A"/>
          <w:sz w:val="20"/>
        </w:rPr>
        <w:t>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1C1E"/>
          <w:sz w:val="20"/>
        </w:rPr>
        <w:t>▸ Cloud Native Architecture Transformation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Decomposed monolithic application into </w:t>
      </w:r>
      <w:r>
        <w:rPr>
          <w:rFonts w:ascii="Helvetica Neue" w:hAnsi="Helvetica Neue" w:eastAsia="Helvetica Neue"/>
          <w:b/>
          <w:color w:val="1C1C1E"/>
          <w:sz w:val="20"/>
        </w:rPr>
        <w:t>30+ microservices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 with Service Mesh architecture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Established GitOps release process, achieved </w:t>
      </w:r>
      <w:r>
        <w:rPr>
          <w:rFonts w:ascii="Helvetica Neue" w:hAnsi="Helvetica Neue" w:eastAsia="Helvetica Neue"/>
          <w:b/>
          <w:color w:val="1C1C1E"/>
          <w:sz w:val="20"/>
        </w:rPr>
        <w:t>daily iteration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 capability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System availability improved from 99.5% to </w:t>
      </w:r>
      <w:r>
        <w:rPr>
          <w:rFonts w:ascii="Helvetica Neue" w:hAnsi="Helvetica Neue" w:eastAsia="Helvetica Neue"/>
          <w:b/>
          <w:color w:val="1C1C1E"/>
          <w:sz w:val="20"/>
        </w:rPr>
        <w:t>99.99%</w:t>
      </w:r>
      <w:r>
        <w:rPr>
          <w:rFonts w:ascii="Helvetica Neue" w:hAnsi="Helvetica Neue" w:eastAsia="Helvetica Neue"/>
          <w:b w:val="0"/>
          <w:color w:val="1C1C1E"/>
          <w:sz w:val="20"/>
        </w:rPr>
        <w:t>, recovery time from hours to minutes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1C1E"/>
          <w:sz w:val="20"/>
        </w:rPr>
        <w:t>▸ High-Concurrency Trading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Designed distributed transaction solution, supporting </w:t>
      </w:r>
      <w:r>
        <w:rPr>
          <w:rFonts w:ascii="Helvetica Neue" w:hAnsi="Helvetica Neue" w:eastAsia="Helvetica Neue"/>
          <w:b/>
          <w:color w:val="1C1C1E"/>
          <w:sz w:val="20"/>
        </w:rPr>
        <w:t>10M+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API P99 latency optimized from 800ms to </w:t>
      </w:r>
      <w:r>
        <w:rPr>
          <w:rFonts w:ascii="Helvetica Neue" w:hAnsi="Helvetica Neue" w:eastAsia="Helvetica Neue"/>
          <w:b/>
          <w:color w:val="1C1C1E"/>
          <w:sz w:val="20"/>
        </w:rPr>
        <w:t>50ms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, peak QPS reached </w:t>
      </w:r>
      <w:r>
        <w:rPr>
          <w:rFonts w:ascii="Helvetica Neue" w:hAnsi="Helvetica Neue" w:eastAsia="Helvetica Neue"/>
          <w:b/>
          <w:color w:val="1C1C1E"/>
          <w:sz w:val="20"/>
        </w:rPr>
        <w:t>50,000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Introduced async event-driven architecture, throughput improved </w:t>
      </w:r>
      <w:r>
        <w:rPr>
          <w:rFonts w:ascii="Helvetica Neue" w:hAnsi="Helvetica Neue" w:eastAsia="Helvetica Neue"/>
          <w:b/>
          <w:color w:val="1C1C1E"/>
          <w:sz w:val="20"/>
        </w:rPr>
        <w:t>5×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1C1E"/>
          <w:sz w:val="20"/>
        </w:rPr>
        <w:t>▸ Data Platform Construction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Built real-time data pipeline supporting </w:t>
      </w:r>
      <w:r>
        <w:rPr>
          <w:rFonts w:ascii="Helvetica Neue" w:hAnsi="Helvetica Neue" w:eastAsia="Helvetica Neue"/>
          <w:b/>
          <w:color w:val="1C1C1E"/>
          <w:sz w:val="20"/>
        </w:rPr>
        <w:t>PB-scale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 data processing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Introduced ClickHouse columnar storage, query performance improved </w:t>
      </w:r>
      <w:r>
        <w:rPr>
          <w:rFonts w:ascii="Helvetica Neue" w:hAnsi="Helvetica Neue" w:eastAsia="Helvetica Neue"/>
          <w:b/>
          <w:color w:val="1C1C1E"/>
          <w:sz w:val="20"/>
        </w:rPr>
        <w:t>100×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Established data quality monitoring system, accuracy reached </w:t>
      </w:r>
      <w:r>
        <w:rPr>
          <w:rFonts w:ascii="Helvetica Neue" w:hAnsi="Helvetica Neue" w:eastAsia="Helvetica Neue"/>
          <w:b/>
          <w:color w:val="1C1C1E"/>
          <w:sz w:val="20"/>
        </w:rPr>
        <w:t>99.9%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C1C1E"/>
          <w:sz w:val="28"/>
        </w:rPr>
        <w:t>CloudSpark AI Tech</w:t>
      </w:r>
      <w:r>
        <w:rPr>
          <w:rFonts w:ascii="Helvetica Neue" w:hAnsi="Helvetica Neue" w:eastAsia="Helvetica Neue"/>
          <w:b w:val="0"/>
          <w:color w:val="555A6A"/>
          <w:sz w:val="20"/>
        </w:rPr>
        <w:t xml:space="preserve">    Mar 2019 – May 2022 | Shenzhen</w:t>
      </w:r>
    </w:p>
    <w:p>
      <w:pPr>
        <w:spacing w:after="80"/>
      </w:pPr>
      <w:r>
        <w:rPr>
          <w:rFonts w:ascii="Helvetica Neue" w:hAnsi="Helvetica Neue" w:eastAsia="Helvetica Neue"/>
          <w:b/>
          <w:color w:val="5B76FE"/>
          <w:sz w:val="22"/>
        </w:rPr>
        <w:t>Senior Backend Engineer</w:t>
      </w:r>
    </w:p>
    <w:p>
      <w:pPr>
        <w:spacing w:after="120"/>
      </w:pPr>
      <w:r>
        <w:rPr>
          <w:rFonts w:ascii="Helvetica Neue" w:hAnsi="Helvetica Neue" w:eastAsia="Helvetica Neue"/>
          <w:b w:val="0"/>
          <w:color w:val="555A6A"/>
          <w:sz w:val="20"/>
        </w:rPr>
        <w:t>Participated in AI inference platform R&amp;D, responsible for core service design and performance optimization.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1C1E"/>
          <w:sz w:val="20"/>
        </w:rPr>
        <w:t>▸ AI Inference Service Platform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Designed model service gateway supporting </w:t>
      </w:r>
      <w:r>
        <w:rPr>
          <w:rFonts w:ascii="Helvetica Neue" w:hAnsi="Helvetica Neue" w:eastAsia="Helvetica Neue"/>
          <w:b/>
          <w:color w:val="1C1C1E"/>
          <w:sz w:val="20"/>
        </w:rPr>
        <w:t>100+ AI models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 dynamic scheduling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Implemented inference request load balancing, GPU utilization improved from 40% to </w:t>
      </w:r>
      <w:r>
        <w:rPr>
          <w:rFonts w:ascii="Helvetica Neue" w:hAnsi="Helvetica Neue" w:eastAsia="Helvetica Neue"/>
          <w:b/>
          <w:color w:val="1C1C1E"/>
          <w:sz w:val="20"/>
        </w:rPr>
        <w:t>85%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>Established model version management and canary release mechanism</w:t>
      </w:r>
    </w:p>
    <w:p>
      <w:pPr>
        <w:spacing w:before="80" w:after="40"/>
      </w:pPr>
      <w:r>
        <w:rPr>
          <w:rFonts w:ascii="Helvetica Neue" w:hAnsi="Helvetica Neue" w:eastAsia="Helvetica Neue"/>
          <w:b/>
          <w:color w:val="1C1C1E"/>
          <w:sz w:val="20"/>
        </w:rPr>
        <w:t>▸ Real-time Feature Computation System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Built streaming feature computation engine, latency reduced from seconds to </w:t>
      </w:r>
      <w:r>
        <w:rPr>
          <w:rFonts w:ascii="Helvetica Neue" w:hAnsi="Helvetica Neue" w:eastAsia="Helvetica Neue"/>
          <w:b/>
          <w:color w:val="1C1C1E"/>
          <w:sz w:val="20"/>
        </w:rPr>
        <w:t>milliseconds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Feature storage using Redis Cluster, supporting </w:t>
      </w:r>
      <w:r>
        <w:rPr>
          <w:rFonts w:ascii="Helvetica Neue" w:hAnsi="Helvetica Neue" w:eastAsia="Helvetica Neue"/>
          <w:b/>
          <w:color w:val="1C1C1E"/>
          <w:sz w:val="20"/>
        </w:rPr>
        <w:t>billion-scale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 real-time queries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System supported </w:t>
      </w:r>
      <w:r>
        <w:rPr>
          <w:rFonts w:ascii="Helvetica Neue" w:hAnsi="Helvetica Neue" w:eastAsia="Helvetica Neue"/>
          <w:b/>
          <w:color w:val="1C1C1E"/>
          <w:sz w:val="20"/>
        </w:rPr>
        <w:t>10M+ DAU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 personalized recommendations</w:t>
      </w:r>
    </w:p>
    <w:p>
      <w:pPr>
        <w:spacing w:before="0" w:after="120" w:line="324" w:lineRule="auto"/>
        <w:jc w:val="left"/>
      </w:pPr>
    </w:p>
    <w:p>
      <w:pPr>
        <w:spacing w:before="160" w:after="40"/>
      </w:pPr>
      <w:r>
        <w:rPr>
          <w:rFonts w:ascii="Helvetica Neue" w:hAnsi="Helvetica Neue" w:eastAsia="Helvetica Neue"/>
          <w:b/>
          <w:color w:val="1C1C1E"/>
          <w:sz w:val="28"/>
        </w:rPr>
        <w:t>InnovSoft Technology</w:t>
      </w:r>
      <w:r>
        <w:rPr>
          <w:rFonts w:ascii="Helvetica Neue" w:hAnsi="Helvetica Neue" w:eastAsia="Helvetica Neue"/>
          <w:b w:val="0"/>
          <w:color w:val="555A6A"/>
          <w:sz w:val="20"/>
        </w:rPr>
        <w:t xml:space="preserve">    Jul 2017 – Feb 2019 | Beijing</w:t>
      </w:r>
    </w:p>
    <w:p>
      <w:pPr>
        <w:spacing w:after="80"/>
      </w:pPr>
      <w:r>
        <w:rPr>
          <w:rFonts w:ascii="Helvetica Neue" w:hAnsi="Helvetica Neue" w:eastAsia="Helvetica Neue"/>
          <w:b/>
          <w:color w:val="5B76FE"/>
          <w:sz w:val="22"/>
        </w:rPr>
        <w:t>Backend Developer</w:t>
      </w:r>
    </w:p>
    <w:p>
      <w:pPr>
        <w:spacing w:after="120"/>
      </w:pPr>
    </w:p>
    <w:p>
      <w:pPr>
        <w:spacing w:before="80" w:after="40"/>
      </w:pPr>
      <w:r>
        <w:rPr>
          <w:rFonts w:ascii="Helvetica Neue" w:hAnsi="Helvetica Neue" w:eastAsia="Helvetica Neue"/>
          <w:b/>
          <w:color w:val="1C1C1E"/>
          <w:sz w:val="20"/>
        </w:rPr>
        <w:t>▸ E-commerce Platform Backend Services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Developed order and payment core modules, supporting </w:t>
      </w:r>
      <w:r>
        <w:rPr>
          <w:rFonts w:ascii="Helvetica Neue" w:hAnsi="Helvetica Neue" w:eastAsia="Helvetica Neue"/>
          <w:b/>
          <w:color w:val="1C1C1E"/>
          <w:sz w:val="20"/>
        </w:rPr>
        <w:t>1M+ daily orders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>Designed distributed lock solution, resolved inventory overselling issue</w:t>
      </w:r>
    </w:p>
    <w:p>
      <w:pPr>
        <w:spacing w:after="40" w:line="360" w:lineRule="auto"/>
        <w:ind w:left="720"/>
      </w:pPr>
      <w:r>
        <w:rPr>
          <w:rFonts w:ascii="Helvetica Neue" w:hAnsi="Helvetica Neue" w:eastAsia="Helvetica Neue"/>
          <w:b/>
          <w:color w:val="5B76FE"/>
          <w:sz w:val="20"/>
        </w:rPr>
        <w:t xml:space="preserve">•  </w:t>
      </w:r>
      <w:r>
        <w:rPr>
          <w:rFonts w:ascii="Helvetica Neue" w:hAnsi="Helvetica Neue" w:eastAsia="Helvetica Neue"/>
          <w:b w:val="0"/>
          <w:color w:val="1C1C1E"/>
          <w:sz w:val="20"/>
        </w:rPr>
        <w:t xml:space="preserve">Introduced message queue decoupling, system stability improved </w:t>
      </w:r>
      <w:r>
        <w:rPr>
          <w:rFonts w:ascii="Helvetica Neue" w:hAnsi="Helvetica Neue" w:eastAsia="Helvetica Neue"/>
          <w:b/>
          <w:color w:val="1C1C1E"/>
          <w:sz w:val="20"/>
        </w:rPr>
        <w:t>30%</w:t>
      </w:r>
    </w:p>
    <w:p>
      <w:pPr>
        <w:spacing w:before="320" w:after="120" w:line="324" w:lineRule="auto"/>
        <w:jc w:val="left"/>
        <w:pBdr>
          <w:bottom w:val="single" w:sz="6" w:space="4" w:color="1c1c1e"/>
        </w:pBdr>
      </w:pPr>
      <w:r>
        <w:rPr>
          <w:rFonts w:ascii="Helvetica Neue" w:hAnsi="Helvetica Neue" w:eastAsia="Helvetica Neue"/>
          <w:b/>
          <w:color w:val="1C1C1E"/>
          <w:sz w:val="40"/>
        </w:rPr>
        <w:t>Certifications</w:t>
      </w:r>
    </w:p>
    <w:p>
      <w:pPr>
        <w:spacing w:after="80"/>
      </w:pPr>
      <w:r>
        <w:rPr>
          <w:rFonts w:ascii="Helvetica Neue" w:hAnsi="Helvetica Neue" w:eastAsia="Helvetica Neue"/>
          <w:b/>
          <w:color w:val="1C1C1E"/>
          <w:sz w:val="20"/>
        </w:rPr>
        <w:t>CKA</w:t>
      </w:r>
      <w:r>
        <w:rPr>
          <w:rFonts w:ascii="Helvetica Neue" w:hAnsi="Helvetica Neue" w:eastAsia="Helvetica Neue"/>
          <w:b w:val="0"/>
          <w:color w:val="555A6A"/>
          <w:sz w:val="18"/>
        </w:rPr>
        <w:t xml:space="preserve"> (Aug 2023)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C1C1E"/>
          <w:sz w:val="20"/>
        </w:rPr>
        <w:t>AWS Solutions Architect</w:t>
      </w:r>
      <w:r>
        <w:rPr>
          <w:rFonts w:ascii="Helvetica Neue" w:hAnsi="Helvetica Neue" w:eastAsia="Helvetica Neue"/>
          <w:b w:val="0"/>
          <w:color w:val="555A6A"/>
          <w:sz w:val="18"/>
        </w:rPr>
        <w:t xml:space="preserve"> (Nov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C1C1E"/>
          <w:sz w:val="20"/>
        </w:rPr>
        <w:t>GCP Professional Cloud Architect</w:t>
      </w:r>
      <w:r>
        <w:rPr>
          <w:rFonts w:ascii="Helvetica Neue" w:hAnsi="Helvetica Neue" w:eastAsia="Helvetica Neue"/>
          <w:b w:val="0"/>
          <w:color w:val="555A6A"/>
          <w:sz w:val="18"/>
        </w:rPr>
        <w:t xml:space="preserve"> (Jun 2022)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C1C1E"/>
          <w:sz w:val="20"/>
        </w:rPr>
        <w:t>Alibaba Cloud ACE</w:t>
      </w:r>
      <w:r>
        <w:rPr>
          <w:rFonts w:ascii="Helvetica Neue" w:hAnsi="Helvetica Neue" w:eastAsia="Helvetica Neue"/>
          <w:b w:val="0"/>
          <w:color w:val="555A6A"/>
          <w:sz w:val="18"/>
        </w:rPr>
        <w:t xml:space="preserve"> (Sep 2021)</w:t>
      </w:r>
      <w:r>
        <w:rPr>
          <w:rFonts w:ascii="Helvetica Neue" w:hAnsi="Helvetica Neue" w:eastAsia="Helvetica Neue"/>
          <w:b w:val="0"/>
          <w:sz w:val="20"/>
        </w:rPr>
        <w:t xml:space="preserve">   </w:t>
      </w:r>
      <w:r>
        <w:rPr>
          <w:rFonts w:ascii="Helvetica Neue" w:hAnsi="Helvetica Neue" w:eastAsia="Helvetica Neue"/>
          <w:b/>
          <w:color w:val="1C1C1E"/>
          <w:sz w:val="20"/>
        </w:rPr>
        <w:t>PMP</w:t>
      </w:r>
      <w:r>
        <w:rPr>
          <w:rFonts w:ascii="Helvetica Neue" w:hAnsi="Helvetica Neue" w:eastAsia="Helvetica Neue"/>
          <w:b w:val="0"/>
          <w:color w:val="555A6A"/>
          <w:sz w:val="18"/>
        </w:rPr>
        <w:t xml:space="preserve"> (Mar 2020)</w:t>
      </w:r>
    </w:p>
    <w:p>
      <w:pPr>
        <w:spacing w:before="320" w:after="120" w:line="324" w:lineRule="auto"/>
        <w:jc w:val="left"/>
        <w:pBdr>
          <w:bottom w:val="single" w:sz="6" w:space="4" w:color="1c1c1e"/>
        </w:pBdr>
      </w:pPr>
      <w:r>
        <w:rPr>
          <w:rFonts w:ascii="Helvetica Neue" w:hAnsi="Helvetica Neue" w:eastAsia="Helvetica Neue"/>
          <w:b/>
          <w:color w:val="1C1C1E"/>
          <w:sz w:val="40"/>
        </w:rPr>
        <w:t>Education</w:t>
      </w:r>
    </w:p>
    <w:p>
      <w:pPr>
        <w:spacing w:after="80"/>
      </w:pPr>
      <w:r>
        <w:rPr>
          <w:rFonts w:ascii="Helvetica Neue" w:hAnsi="Helvetica Neue" w:eastAsia="Helvetica Neue"/>
          <w:b/>
          <w:color w:val="1C1C1E"/>
          <w:sz w:val="28"/>
        </w:rPr>
        <w:t>Shanghai Jiao Tong University</w:t>
      </w:r>
      <w:r>
        <w:rPr>
          <w:rFonts w:ascii="Helvetica Neue" w:hAnsi="Helvetica Neue" w:eastAsia="Helvetica Neue"/>
          <w:b/>
          <w:color w:val="5B76FE"/>
          <w:sz w:val="20"/>
        </w:rPr>
        <w:t xml:space="preserve">  【Top-tier University】</w:t>
      </w:r>
      <w:r>
        <w:rPr>
          <w:rFonts w:ascii="Helvetica Neue" w:hAnsi="Helvetica Neue" w:eastAsia="Helvetica Neue"/>
          <w:b w:val="0"/>
          <w:color w:val="555A6A"/>
          <w:sz w:val="20"/>
        </w:rPr>
        <w:t xml:space="preserve">    2013 – 2017</w:t>
      </w:r>
    </w:p>
    <w:p>
      <w:pPr>
        <w:spacing w:before="0" w:after="0" w:line="324" w:lineRule="auto"/>
        <w:jc w:val="left"/>
      </w:pPr>
      <w:r>
        <w:rPr>
          <w:rFonts w:ascii="Helvetica Neue" w:hAnsi="Helvetica Neue" w:eastAsia="Helvetica Neue"/>
          <w:b w:val="0"/>
          <w:color w:val="1C1C1E"/>
          <w:sz w:val="22"/>
        </w:rPr>
        <w:t>Bachelor of Computer Science</w:t>
      </w:r>
    </w:p>
    <w:sectPr w:rsidR="00FC693F" w:rsidRPr="0006063C" w:rsidSect="00034616">
      <w:pgSz w:w="11906" w:h="16838"/>
      <w:pgMar w:top="907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