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0000"/>
                <w:sz w:val="56"/>
              </w:rPr>
              <w:t>陈思杨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7B42BC"/>
                <w:sz w:val="28"/>
              </w:rPr>
              <w:t>高级后端工程师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656A76"/>
                <w:sz w:val="22"/>
              </w:rPr>
              <w:t>8年微服务架构经验 · 云原生技术专家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上海   ·  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000000"/>
        </w:pBdr>
      </w:pP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000000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7B42BC"/>
          <w:sz w:val="24"/>
        </w:rPr>
        <w:t>8年分布式系统经验 | 云原生架构设计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1f2f3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0000"/>
                <w:sz w:val="24"/>
              </w:rPr>
              <w:t>微服务架构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主导企业级微服务架构设计与落地，支撑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日均千万级</w:t>
            </w: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请求流量</w:t>
            </w:r>
          </w:p>
        </w:tc>
        <w:tc>
          <w:tcPr>
            <w:tcW w:type="dxa" w:w="4819"/>
            <w:shd w:val="clear" w:color="auto" w:fill="f1f2f3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0000"/>
                <w:sz w:val="24"/>
              </w:rPr>
              <w:t>高并发系统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自研分布式任务调度框架，获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开源社区5000+Star</w:t>
            </w: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认可</w:t>
            </w:r>
          </w:p>
        </w:tc>
      </w:tr>
      <w:tr>
        <w:tc>
          <w:tcPr>
            <w:tcW w:type="dxa" w:w="4819"/>
            <w:shd w:val="clear" w:color="auto" w:fill="f1f2f3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0000"/>
                <w:sz w:val="24"/>
              </w:rPr>
              <w:t>云原生转型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完成传统单体应用向云原生架构平滑迁移，部署效率提升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10倍</w:t>
            </w:r>
          </w:p>
        </w:tc>
        <w:tc>
          <w:tcPr>
            <w:tcW w:type="dxa" w:w="4819"/>
            <w:shd w:val="clear" w:color="auto" w:fill="f1f2f3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0000"/>
                <w:sz w:val="24"/>
              </w:rPr>
              <w:t>技术开源贡献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000000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2"/>
              </w:rPr>
              <w:t>API响应延迟优化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B42BC"/>
                <w:sz w:val="22"/>
              </w:rPr>
              <w:t>P99从800ms降至50ms（16倍提升）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2"/>
              </w:rPr>
              <w:t>容器化部署效率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B42BC"/>
                <w:sz w:val="22"/>
              </w:rPr>
              <w:t>从周级发布到日级发布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2"/>
              </w:rPr>
              <w:t>系统可用性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B42BC"/>
                <w:sz w:val="22"/>
              </w:rPr>
              <w:t>99.99% SLA达成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2"/>
              </w:rPr>
              <w:t>成本优化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B42BC"/>
                <w:sz w:val="22"/>
              </w:rPr>
              <w:t>云资源成本降低40%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2"/>
              </w:rPr>
              <w:t>团队技术影响力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B42BC"/>
                <w:sz w:val="22"/>
              </w:rPr>
              <w:t>内部技术分享30+场次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000000"/>
          <w:sz w:val="40"/>
        </w:rPr>
        <w:t>开源贡献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1f2f3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开源项目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CloudFlow - 分布式任务调度框架</w:t>
            </w:r>
            <w:r>
              <w:rPr>
                <w:rFonts w:ascii="PingFang SC" w:hAnsi="PingFang SC" w:eastAsia="PingFang SC"/>
                <w:b w:val="0"/>
                <w:color w:val="7B42BC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1f2f3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技术专利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基于流式计算的资源调度方法</w:t>
            </w:r>
            <w:r>
              <w:rPr>
                <w:rFonts w:ascii="PingFang SC" w:hAnsi="PingFang SC" w:eastAsia="PingFang SC"/>
                <w:b w:val="0"/>
                <w:color w:val="7B42BC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000000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B42BC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AWS · GCP · 阿里云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B42BC"/>
                <w:sz w:val="20"/>
              </w:rPr>
              <w:t>后端开发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B42BC"/>
                <w:sz w:val="20"/>
              </w:rPr>
              <w:t>微服务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B42BC"/>
                <w:sz w:val="20"/>
              </w:rPr>
              <w:t>数据存储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B42BC"/>
                <w:sz w:val="20"/>
              </w:rPr>
              <w:t>消息队列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B42BC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B42BC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B42BC"/>
                <w:sz w:val="20"/>
              </w:rPr>
              <w:t>开发框架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000000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 w:val="0"/>
          <w:color w:val="000000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656A76"/>
          <w:sz w:val="20"/>
        </w:rPr>
        <w:t xml:space="preserve">  |  开源项目  2025.01 – 至今</w:t>
      </w:r>
    </w:p>
    <w:p>
      <w:pPr>
        <w:spacing w:after="40" w:line="391" w:lineRule="auto"/>
        <w:ind w:left="576"/>
      </w:pPr>
      <w:r>
        <w:rPr>
          <w:rFonts w:ascii="PingFang SC" w:hAnsi="PingFang SC" w:eastAsia="PingFang SC"/>
          <w:b/>
          <w:color w:val="7B42B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000000"/>
          <w:sz w:val="20"/>
        </w:rPr>
        <w:t>58个品牌设计风格</w:t>
      </w:r>
      <w:r>
        <w:rPr>
          <w:rFonts w:ascii="PingFang SC" w:hAnsi="PingFang SC" w:eastAsia="PingFang SC"/>
          <w:b w:val="0"/>
          <w:color w:val="000000"/>
          <w:sz w:val="20"/>
        </w:rPr>
        <w:t>（Apple/Tesla/Stripe/Vercel等）</w:t>
      </w:r>
    </w:p>
    <w:p>
      <w:pPr>
        <w:spacing w:after="40" w:line="391" w:lineRule="auto"/>
        <w:ind w:left="576"/>
      </w:pPr>
      <w:r>
        <w:rPr>
          <w:rFonts w:ascii="PingFang SC" w:hAnsi="PingFang SC" w:eastAsia="PingFang SC"/>
          <w:b/>
          <w:color w:val="7B42B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000000"/>
          <w:sz w:val="20"/>
        </w:rPr>
        <w:t>HTML/PDF/DOCX</w:t>
      </w:r>
      <w:r>
        <w:rPr>
          <w:rFonts w:ascii="PingFang SC" w:hAnsi="PingFang SC" w:eastAsia="PingFang SC"/>
          <w:b w:val="0"/>
          <w:color w:val="000000"/>
          <w:sz w:val="20"/>
        </w:rPr>
        <w:t>三种格式，中英双语支持</w:t>
      </w:r>
    </w:p>
    <w:p>
      <w:pPr>
        <w:spacing w:after="40" w:line="391" w:lineRule="auto"/>
        <w:ind w:left="576"/>
      </w:pPr>
      <w:r>
        <w:rPr>
          <w:rFonts w:ascii="PingFang SC" w:hAnsi="PingFang SC" w:eastAsia="PingFang SC"/>
          <w:b/>
          <w:color w:val="7B42B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模块化架构设计：内容与样式分离，主题配置热插拔，支持自定义品牌扩展</w:t>
      </w:r>
    </w:p>
    <w:p>
      <w:pPr>
        <w:spacing w:after="40" w:line="391" w:lineRule="auto"/>
        <w:ind w:left="576"/>
      </w:pPr>
      <w:r>
        <w:rPr>
          <w:rFonts w:ascii="PingFang SC" w:hAnsi="PingFang SC" w:eastAsia="PingFang SC"/>
          <w:b/>
          <w:color w:val="7B42B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应用技术：Python、Jinja2模板引擎、python-docx、Chrome Headless PDF渲染</w:t>
      </w:r>
    </w:p>
    <w:p>
      <w:pPr>
        <w:spacing w:after="160"/>
      </w:pP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000000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 w:val="0"/>
          <w:color w:val="000000"/>
          <w:sz w:val="28"/>
        </w:rPr>
        <w:t>星辰科技集团</w:t>
      </w:r>
      <w:r>
        <w:rPr>
          <w:rFonts w:ascii="PingFang SC" w:hAnsi="PingFang SC" w:eastAsia="PingFang SC"/>
          <w:b w:val="0"/>
          <w:color w:val="656A76"/>
          <w:sz w:val="20"/>
        </w:rPr>
        <w:t xml:space="preserve">    2022.06 – 至今 | 上海</w:t>
      </w:r>
    </w:p>
    <w:p>
      <w:pPr>
        <w:spacing w:after="80"/>
      </w:pPr>
      <w:r>
        <w:rPr>
          <w:rFonts w:ascii="PingFang SC" w:hAnsi="PingFang SC" w:eastAsia="PingFang SC"/>
          <w:b/>
          <w:color w:val="7B42BC"/>
          <w:sz w:val="22"/>
        </w:rPr>
        <w:t>技术架构师 · 后端团队负责人</w:t>
      </w:r>
    </w:p>
    <w:p>
      <w:pPr>
        <w:spacing w:after="120"/>
      </w:pPr>
      <w:r>
        <w:rPr>
          <w:rFonts w:ascii="PingFang SC" w:hAnsi="PingFang SC" w:eastAsia="PingFang SC"/>
          <w:b w:val="0"/>
          <w:color w:val="656A76"/>
          <w:sz w:val="20"/>
        </w:rPr>
        <w:t>主导核心业务系统架构演进，带领</w:t>
      </w:r>
      <w:r>
        <w:rPr>
          <w:rFonts w:ascii="PingFang SC" w:hAnsi="PingFang SC" w:eastAsia="PingFang SC"/>
          <w:b/>
          <w:color w:val="656A76"/>
          <w:sz w:val="20"/>
        </w:rPr>
        <w:t>12人团队</w:t>
      </w:r>
      <w:r>
        <w:rPr>
          <w:rFonts w:ascii="PingFang SC" w:hAnsi="PingFang SC" w:eastAsia="PingFang SC"/>
          <w:b w:val="0"/>
          <w:color w:val="656A76"/>
          <w:sz w:val="20"/>
        </w:rPr>
        <w:t>完成云原生转型，支撑公司业务</w:t>
      </w:r>
      <w:r>
        <w:rPr>
          <w:rFonts w:ascii="PingFang SC" w:hAnsi="PingFang SC" w:eastAsia="PingFang SC"/>
          <w:b/>
          <w:color w:val="656A76"/>
          <w:sz w:val="20"/>
        </w:rPr>
        <w:t>3倍增长</w:t>
      </w:r>
      <w:r>
        <w:rPr>
          <w:rFonts w:ascii="PingFang SC" w:hAnsi="PingFang SC" w:eastAsia="PingFang SC"/>
          <w:b w:val="0"/>
          <w:color w:val="656A76"/>
          <w:sz w:val="20"/>
        </w:rPr>
        <w:t>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云原生架构转型</w:t>
      </w:r>
    </w:p>
    <w:p>
      <w:pPr>
        <w:spacing w:after="40" w:line="391" w:lineRule="auto"/>
        <w:ind w:left="720"/>
      </w:pPr>
      <w:r>
        <w:rPr>
          <w:rFonts w:ascii="PingFang SC" w:hAnsi="PingFang SC" w:eastAsia="PingFang SC"/>
          <w:b/>
          <w:color w:val="7B42B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主导单体应用拆分为</w:t>
      </w:r>
      <w:r>
        <w:rPr>
          <w:rFonts w:ascii="PingFang SC" w:hAnsi="PingFang SC" w:eastAsia="PingFang SC"/>
          <w:b/>
          <w:color w:val="000000"/>
          <w:sz w:val="20"/>
        </w:rPr>
        <w:t>30+微服务</w:t>
      </w:r>
      <w:r>
        <w:rPr>
          <w:rFonts w:ascii="PingFang SC" w:hAnsi="PingFang SC" w:eastAsia="PingFang SC"/>
          <w:b w:val="0"/>
          <w:color w:val="000000"/>
          <w:sz w:val="20"/>
        </w:rPr>
        <w:t>，采用Service Mesh架构</w:t>
      </w:r>
    </w:p>
    <w:p>
      <w:pPr>
        <w:spacing w:after="40" w:line="391" w:lineRule="auto"/>
        <w:ind w:left="720"/>
      </w:pPr>
      <w:r>
        <w:rPr>
          <w:rFonts w:ascii="PingFang SC" w:hAnsi="PingFang SC" w:eastAsia="PingFang SC"/>
          <w:b/>
          <w:color w:val="7B42B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建立GitOps发布流程，实现</w:t>
      </w:r>
      <w:r>
        <w:rPr>
          <w:rFonts w:ascii="PingFang SC" w:hAnsi="PingFang SC" w:eastAsia="PingFang SC"/>
          <w:b/>
          <w:color w:val="000000"/>
          <w:sz w:val="20"/>
        </w:rPr>
        <w:t>日级迭代</w:t>
      </w:r>
      <w:r>
        <w:rPr>
          <w:rFonts w:ascii="PingFang SC" w:hAnsi="PingFang SC" w:eastAsia="PingFang SC"/>
          <w:b w:val="0"/>
          <w:color w:val="000000"/>
          <w:sz w:val="20"/>
        </w:rPr>
        <w:t>能力</w:t>
      </w:r>
    </w:p>
    <w:p>
      <w:pPr>
        <w:spacing w:after="40" w:line="391" w:lineRule="auto"/>
        <w:ind w:left="720"/>
      </w:pPr>
      <w:r>
        <w:rPr>
          <w:rFonts w:ascii="PingFang SC" w:hAnsi="PingFang SC" w:eastAsia="PingFang SC"/>
          <w:b/>
          <w:color w:val="7B42B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系统可用性从99.5%提升至</w:t>
      </w:r>
      <w:r>
        <w:rPr>
          <w:rFonts w:ascii="PingFang SC" w:hAnsi="PingFang SC" w:eastAsia="PingFang SC"/>
          <w:b/>
          <w:color w:val="000000"/>
          <w:sz w:val="20"/>
        </w:rPr>
        <w:t>99.99%</w:t>
      </w:r>
      <w:r>
        <w:rPr>
          <w:rFonts w:ascii="PingFang SC" w:hAnsi="PingFang SC" w:eastAsia="PingFang SC"/>
          <w:b w:val="0"/>
          <w:color w:val="000000"/>
          <w:sz w:val="20"/>
        </w:rPr>
        <w:t>，故障恢复时间从小时级降至分钟级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高并发交易系统</w:t>
      </w:r>
    </w:p>
    <w:p>
      <w:pPr>
        <w:spacing w:after="40" w:line="391" w:lineRule="auto"/>
        <w:ind w:left="720"/>
      </w:pPr>
      <w:r>
        <w:rPr>
          <w:rFonts w:ascii="PingFang SC" w:hAnsi="PingFang SC" w:eastAsia="PingFang SC"/>
          <w:b/>
          <w:color w:val="7B42B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设计分布式事务解决方案，支撑</w:t>
      </w:r>
      <w:r>
        <w:rPr>
          <w:rFonts w:ascii="PingFang SC" w:hAnsi="PingFang SC" w:eastAsia="PingFang SC"/>
          <w:b/>
          <w:color w:val="000000"/>
          <w:sz w:val="20"/>
        </w:rPr>
        <w:t>日均千万订单</w:t>
      </w:r>
      <w:r>
        <w:rPr>
          <w:rFonts w:ascii="PingFang SC" w:hAnsi="PingFang SC" w:eastAsia="PingFang SC"/>
          <w:b w:val="0"/>
          <w:color w:val="000000"/>
          <w:sz w:val="20"/>
        </w:rPr>
        <w:t>处理</w:t>
      </w:r>
    </w:p>
    <w:p>
      <w:pPr>
        <w:spacing w:after="40" w:line="391" w:lineRule="auto"/>
        <w:ind w:left="720"/>
      </w:pPr>
      <w:r>
        <w:rPr>
          <w:rFonts w:ascii="PingFang SC" w:hAnsi="PingFang SC" w:eastAsia="PingFang SC"/>
          <w:b/>
          <w:color w:val="7B42B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API P99延迟从800ms优化至</w:t>
      </w:r>
      <w:r>
        <w:rPr>
          <w:rFonts w:ascii="PingFang SC" w:hAnsi="PingFang SC" w:eastAsia="PingFang SC"/>
          <w:b/>
          <w:color w:val="000000"/>
          <w:sz w:val="20"/>
        </w:rPr>
        <w:t>50ms</w:t>
      </w:r>
      <w:r>
        <w:rPr>
          <w:rFonts w:ascii="PingFang SC" w:hAnsi="PingFang SC" w:eastAsia="PingFang SC"/>
          <w:b w:val="0"/>
          <w:color w:val="000000"/>
          <w:sz w:val="20"/>
        </w:rPr>
        <w:t>，QPS峰值提升至</w:t>
      </w:r>
      <w:r>
        <w:rPr>
          <w:rFonts w:ascii="PingFang SC" w:hAnsi="PingFang SC" w:eastAsia="PingFang SC"/>
          <w:b/>
          <w:color w:val="000000"/>
          <w:sz w:val="20"/>
        </w:rPr>
        <w:t>50000</w:t>
      </w:r>
    </w:p>
    <w:p>
      <w:pPr>
        <w:spacing w:after="40" w:line="391" w:lineRule="auto"/>
        <w:ind w:left="720"/>
      </w:pPr>
      <w:r>
        <w:rPr>
          <w:rFonts w:ascii="PingFang SC" w:hAnsi="PingFang SC" w:eastAsia="PingFang SC"/>
          <w:b/>
          <w:color w:val="7B42B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引入异步事件驱动架构，系统吞吐量提升</w:t>
      </w:r>
      <w:r>
        <w:rPr>
          <w:rFonts w:ascii="PingFang SC" w:hAnsi="PingFang SC" w:eastAsia="PingFang SC"/>
          <w:b/>
          <w:color w:val="000000"/>
          <w:sz w:val="20"/>
        </w:rPr>
        <w:t>5倍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数据平台建设</w:t>
      </w:r>
    </w:p>
    <w:p>
      <w:pPr>
        <w:spacing w:after="40" w:line="391" w:lineRule="auto"/>
        <w:ind w:left="720"/>
      </w:pPr>
      <w:r>
        <w:rPr>
          <w:rFonts w:ascii="PingFang SC" w:hAnsi="PingFang SC" w:eastAsia="PingFang SC"/>
          <w:b/>
          <w:color w:val="7B42B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构建实时数据管道，支持</w:t>
      </w:r>
      <w:r>
        <w:rPr>
          <w:rFonts w:ascii="PingFang SC" w:hAnsi="PingFang SC" w:eastAsia="PingFang SC"/>
          <w:b/>
          <w:color w:val="000000"/>
          <w:sz w:val="20"/>
        </w:rPr>
        <w:t>PB级</w:t>
      </w:r>
      <w:r>
        <w:rPr>
          <w:rFonts w:ascii="PingFang SC" w:hAnsi="PingFang SC" w:eastAsia="PingFang SC"/>
          <w:b w:val="0"/>
          <w:color w:val="000000"/>
          <w:sz w:val="20"/>
        </w:rPr>
        <w:t>数据处理</w:t>
      </w:r>
    </w:p>
    <w:p>
      <w:pPr>
        <w:spacing w:after="40" w:line="391" w:lineRule="auto"/>
        <w:ind w:left="720"/>
      </w:pPr>
      <w:r>
        <w:rPr>
          <w:rFonts w:ascii="PingFang SC" w:hAnsi="PingFang SC" w:eastAsia="PingFang SC"/>
          <w:b/>
          <w:color w:val="7B42B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引入ClickHouse列式存储，查询性能提升</w:t>
      </w:r>
      <w:r>
        <w:rPr>
          <w:rFonts w:ascii="PingFang SC" w:hAnsi="PingFang SC" w:eastAsia="PingFang SC"/>
          <w:b/>
          <w:color w:val="000000"/>
          <w:sz w:val="20"/>
        </w:rPr>
        <w:t>100倍</w:t>
      </w:r>
    </w:p>
    <w:p>
      <w:pPr>
        <w:spacing w:after="40" w:line="391" w:lineRule="auto"/>
        <w:ind w:left="720"/>
      </w:pPr>
      <w:r>
        <w:rPr>
          <w:rFonts w:ascii="PingFang SC" w:hAnsi="PingFang SC" w:eastAsia="PingFang SC"/>
          <w:b/>
          <w:color w:val="7B42B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建立数据质量监控体系，数据准确性达</w:t>
      </w:r>
      <w:r>
        <w:rPr>
          <w:rFonts w:ascii="PingFang SC" w:hAnsi="PingFang SC" w:eastAsia="PingFang SC"/>
          <w:b/>
          <w:color w:val="000000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000000"/>
          <w:sz w:val="28"/>
        </w:rPr>
        <w:t>云启智能科技有限公司</w:t>
      </w:r>
      <w:r>
        <w:rPr>
          <w:rFonts w:ascii="PingFang SC" w:hAnsi="PingFang SC" w:eastAsia="PingFang SC"/>
          <w:b w:val="0"/>
          <w:color w:val="656A76"/>
          <w:sz w:val="20"/>
        </w:rPr>
        <w:t xml:space="preserve">    2019.03 – 2022.05 | 深圳</w:t>
      </w:r>
    </w:p>
    <w:p>
      <w:pPr>
        <w:spacing w:after="80"/>
      </w:pPr>
      <w:r>
        <w:rPr>
          <w:rFonts w:ascii="PingFang SC" w:hAnsi="PingFang SC" w:eastAsia="PingFang SC"/>
          <w:b/>
          <w:color w:val="7B42BC"/>
          <w:sz w:val="22"/>
        </w:rPr>
        <w:t>高级后端工程师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656A76"/>
          <w:sz w:val="20"/>
        </w:rPr>
        <w:t>参AI推理平台研发，负责核心服务设计与性能优化。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AI推理服务平台</w:t>
      </w:r>
    </w:p>
    <w:p>
      <w:pPr>
        <w:spacing w:after="40" w:line="391" w:lineRule="auto"/>
        <w:ind w:left="720"/>
      </w:pPr>
      <w:r>
        <w:rPr>
          <w:rFonts w:ascii="PingFang SC" w:hAnsi="PingFang SC" w:eastAsia="PingFang SC"/>
          <w:b/>
          <w:color w:val="7B42B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设计模型服务网关，支持</w:t>
      </w:r>
      <w:r>
        <w:rPr>
          <w:rFonts w:ascii="PingFang SC" w:hAnsi="PingFang SC" w:eastAsia="PingFang SC"/>
          <w:b/>
          <w:color w:val="000000"/>
          <w:sz w:val="20"/>
        </w:rPr>
        <w:t>100+AI模型</w:t>
      </w:r>
      <w:r>
        <w:rPr>
          <w:rFonts w:ascii="PingFang SC" w:hAnsi="PingFang SC" w:eastAsia="PingFang SC"/>
          <w:b w:val="0"/>
          <w:color w:val="000000"/>
          <w:sz w:val="20"/>
        </w:rPr>
        <w:t>动态调度</w:t>
      </w:r>
    </w:p>
    <w:p>
      <w:pPr>
        <w:spacing w:after="40" w:line="391" w:lineRule="auto"/>
        <w:ind w:left="720"/>
      </w:pPr>
      <w:r>
        <w:rPr>
          <w:rFonts w:ascii="PingFang SC" w:hAnsi="PingFang SC" w:eastAsia="PingFang SC"/>
          <w:b/>
          <w:color w:val="7B42B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实现推理请求负载均衡，GPU利用率从40%提升至</w:t>
      </w:r>
      <w:r>
        <w:rPr>
          <w:rFonts w:ascii="PingFang SC" w:hAnsi="PingFang SC" w:eastAsia="PingFang SC"/>
          <w:b/>
          <w:color w:val="000000"/>
          <w:sz w:val="20"/>
        </w:rPr>
        <w:t>85%</w:t>
      </w:r>
    </w:p>
    <w:p>
      <w:pPr>
        <w:spacing w:after="40" w:line="391" w:lineRule="auto"/>
        <w:ind w:left="720"/>
      </w:pPr>
      <w:r>
        <w:rPr>
          <w:rFonts w:ascii="PingFang SC" w:hAnsi="PingFang SC" w:eastAsia="PingFang SC"/>
          <w:b/>
          <w:color w:val="7B42B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建立模型版本管理与灰度发布机制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实时特征计算系统</w:t>
      </w:r>
    </w:p>
    <w:p>
      <w:pPr>
        <w:spacing w:after="40" w:line="391" w:lineRule="auto"/>
        <w:ind w:left="720"/>
      </w:pPr>
      <w:r>
        <w:rPr>
          <w:rFonts w:ascii="PingFang SC" w:hAnsi="PingFang SC" w:eastAsia="PingFang SC"/>
          <w:b/>
          <w:color w:val="7B42B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构建流式特征计算引擎，延迟从秒级降至</w:t>
      </w:r>
      <w:r>
        <w:rPr>
          <w:rFonts w:ascii="PingFang SC" w:hAnsi="PingFang SC" w:eastAsia="PingFang SC"/>
          <w:b/>
          <w:color w:val="000000"/>
          <w:sz w:val="20"/>
        </w:rPr>
        <w:t>毫秒级</w:t>
      </w:r>
    </w:p>
    <w:p>
      <w:pPr>
        <w:spacing w:after="40" w:line="391" w:lineRule="auto"/>
        <w:ind w:left="720"/>
      </w:pPr>
      <w:r>
        <w:rPr>
          <w:rFonts w:ascii="PingFang SC" w:hAnsi="PingFang SC" w:eastAsia="PingFang SC"/>
          <w:b/>
          <w:color w:val="7B42B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特征存储采用Redis Cluster，支持</w:t>
      </w:r>
      <w:r>
        <w:rPr>
          <w:rFonts w:ascii="PingFang SC" w:hAnsi="PingFang SC" w:eastAsia="PingFang SC"/>
          <w:b/>
          <w:color w:val="000000"/>
          <w:sz w:val="20"/>
        </w:rPr>
        <w:t>亿级特征</w:t>
      </w:r>
      <w:r>
        <w:rPr>
          <w:rFonts w:ascii="PingFang SC" w:hAnsi="PingFang SC" w:eastAsia="PingFang SC"/>
          <w:b w:val="0"/>
          <w:color w:val="000000"/>
          <w:sz w:val="20"/>
        </w:rPr>
        <w:t>实时查询</w:t>
      </w:r>
    </w:p>
    <w:p>
      <w:pPr>
        <w:spacing w:after="40" w:line="391" w:lineRule="auto"/>
        <w:ind w:left="720"/>
      </w:pPr>
      <w:r>
        <w:rPr>
          <w:rFonts w:ascii="PingFang SC" w:hAnsi="PingFang SC" w:eastAsia="PingFang SC"/>
          <w:b/>
          <w:color w:val="7B42B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系统支撑</w:t>
      </w:r>
      <w:r>
        <w:rPr>
          <w:rFonts w:ascii="PingFang SC" w:hAnsi="PingFang SC" w:eastAsia="PingFang SC"/>
          <w:b/>
          <w:color w:val="000000"/>
          <w:sz w:val="20"/>
        </w:rPr>
        <w:t>千万级日活</w:t>
      </w:r>
      <w:r>
        <w:rPr>
          <w:rFonts w:ascii="PingFang SC" w:hAnsi="PingFang SC" w:eastAsia="PingFang SC"/>
          <w:b w:val="0"/>
          <w:color w:val="000000"/>
          <w:sz w:val="20"/>
        </w:rPr>
        <w:t>用户个性化推荐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000000"/>
          <w:sz w:val="28"/>
        </w:rPr>
        <w:t>创新软件技术有限公司</w:t>
      </w:r>
      <w:r>
        <w:rPr>
          <w:rFonts w:ascii="PingFang SC" w:hAnsi="PingFang SC" w:eastAsia="PingFang SC"/>
          <w:b w:val="0"/>
          <w:color w:val="656A76"/>
          <w:sz w:val="20"/>
        </w:rPr>
        <w:t xml:space="preserve">    2017.07 – 2019.02 | 北京</w:t>
      </w:r>
    </w:p>
    <w:p>
      <w:pPr>
        <w:spacing w:after="80"/>
      </w:pPr>
      <w:r>
        <w:rPr>
          <w:rFonts w:ascii="PingFang SC" w:hAnsi="PingFang SC" w:eastAsia="PingFang SC"/>
          <w:b/>
          <w:color w:val="7B42BC"/>
          <w:sz w:val="22"/>
        </w:rPr>
        <w:t>后端开发工程师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电商平台后端服务</w:t>
      </w:r>
    </w:p>
    <w:p>
      <w:pPr>
        <w:spacing w:after="40" w:line="391" w:lineRule="auto"/>
        <w:ind w:left="720"/>
      </w:pPr>
      <w:r>
        <w:rPr>
          <w:rFonts w:ascii="PingFang SC" w:hAnsi="PingFang SC" w:eastAsia="PingFang SC"/>
          <w:b/>
          <w:color w:val="7B42B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负责订单、支付核心模块开发，支持</w:t>
      </w:r>
      <w:r>
        <w:rPr>
          <w:rFonts w:ascii="PingFang SC" w:hAnsi="PingFang SC" w:eastAsia="PingFang SC"/>
          <w:b/>
          <w:color w:val="000000"/>
          <w:sz w:val="20"/>
        </w:rPr>
        <w:t>百万级日订单</w:t>
      </w:r>
    </w:p>
    <w:p>
      <w:pPr>
        <w:spacing w:after="40" w:line="391" w:lineRule="auto"/>
        <w:ind w:left="720"/>
      </w:pPr>
      <w:r>
        <w:rPr>
          <w:rFonts w:ascii="PingFang SC" w:hAnsi="PingFang SC" w:eastAsia="PingFang SC"/>
          <w:b/>
          <w:color w:val="7B42B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设计分布式锁方案，解决库存超卖问题</w:t>
      </w:r>
    </w:p>
    <w:p>
      <w:pPr>
        <w:spacing w:after="40" w:line="391" w:lineRule="auto"/>
        <w:ind w:left="720"/>
      </w:pPr>
      <w:r>
        <w:rPr>
          <w:rFonts w:ascii="PingFang SC" w:hAnsi="PingFang SC" w:eastAsia="PingFang SC"/>
          <w:b/>
          <w:color w:val="7B42B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引入消息队列解耦，系统稳定性提升</w:t>
      </w:r>
      <w:r>
        <w:rPr>
          <w:rFonts w:ascii="PingFang SC" w:hAnsi="PingFang SC" w:eastAsia="PingFang SC"/>
          <w:b/>
          <w:color w:val="000000"/>
          <w:sz w:val="20"/>
        </w:rPr>
        <w:t>30%</w:t>
      </w: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000000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 w:val="0"/>
          <w:color w:val="000000"/>
          <w:sz w:val="20"/>
        </w:rPr>
        <w:t>CKA认证</w:t>
      </w:r>
      <w:r>
        <w:rPr>
          <w:rFonts w:ascii="PingFang SC" w:hAnsi="PingFang SC" w:eastAsia="PingFang SC"/>
          <w:b w:val="0"/>
          <w:color w:val="656A76"/>
          <w:sz w:val="18"/>
        </w:rPr>
        <w:t xml:space="preserve"> (2023.08)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00000"/>
          <w:sz w:val="20"/>
        </w:rPr>
        <w:t>AWS解决方案架构师</w:t>
      </w:r>
      <w:r>
        <w:rPr>
          <w:rFonts w:ascii="PingFang SC" w:hAnsi="PingFang SC" w:eastAsia="PingFang SC"/>
          <w:b w:val="0"/>
          <w:color w:val="656A76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00000"/>
          <w:sz w:val="20"/>
        </w:rPr>
        <w:t>GCP专业云架构师</w:t>
      </w:r>
      <w:r>
        <w:rPr>
          <w:rFonts w:ascii="PingFang SC" w:hAnsi="PingFang SC" w:eastAsia="PingFang SC"/>
          <w:b w:val="0"/>
          <w:color w:val="656A76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00000"/>
          <w:sz w:val="20"/>
        </w:rPr>
        <w:t>阿里云ACE</w:t>
      </w:r>
      <w:r>
        <w:rPr>
          <w:rFonts w:ascii="PingFang SC" w:hAnsi="PingFang SC" w:eastAsia="PingFang SC"/>
          <w:b w:val="0"/>
          <w:color w:val="656A76"/>
          <w:sz w:val="18"/>
        </w:rPr>
        <w:t xml:space="preserve"> (2021.09)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00000"/>
          <w:sz w:val="20"/>
        </w:rPr>
        <w:t>PMP项目管理</w:t>
      </w:r>
      <w:r>
        <w:rPr>
          <w:rFonts w:ascii="PingFang SC" w:hAnsi="PingFang SC" w:eastAsia="PingFang SC"/>
          <w:b w:val="0"/>
          <w:color w:val="656A76"/>
          <w:sz w:val="18"/>
        </w:rPr>
        <w:t xml:space="preserve"> (2020.03)</w:t>
      </w: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000000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 w:val="0"/>
          <w:color w:val="000000"/>
          <w:sz w:val="28"/>
        </w:rPr>
        <w:t>上海交通大学</w:t>
      </w:r>
      <w:r>
        <w:rPr>
          <w:rFonts w:ascii="PingFang SC" w:hAnsi="PingFang SC" w:eastAsia="PingFang SC"/>
          <w:b/>
          <w:color w:val="7B42BC"/>
          <w:sz w:val="20"/>
        </w:rPr>
        <w:t xml:space="preserve">  【985/211】</w:t>
      </w:r>
      <w:r>
        <w:rPr>
          <w:rFonts w:ascii="PingFang SC" w:hAnsi="PingFang SC" w:eastAsia="PingFang SC"/>
          <w:b w:val="0"/>
          <w:color w:val="656A76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000000"/>
          <w:sz w:val="22"/>
        </w:rPr>
        <w:t>计算机科学与技术本科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