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4E4E4E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4e4e4e"/>
        </w:pBdr>
      </w:pP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5"/>
            <w:tcBorders>
              <w:left w:val="single" w:sz="8" w:color="77716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777169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5f5f5"/>
            <w:tcBorders>
              <w:left w:val="single" w:sz="8" w:color="77716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777169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|  开源项目  2025.01 – 至今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4E4E4E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4E4E4E"/>
          <w:sz w:val="20"/>
        </w:rPr>
        <w:t>12人团队</w:t>
      </w:r>
      <w:r>
        <w:rPr>
          <w:rFonts w:ascii="PingFang SC" w:hAnsi="PingFang SC" w:eastAsia="PingFang SC"/>
          <w:b w:val="0"/>
          <w:color w:val="4E4E4E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4E4E4E"/>
          <w:sz w:val="20"/>
        </w:rPr>
        <w:t>3倍增长</w:t>
      </w:r>
      <w:r>
        <w:rPr>
          <w:rFonts w:ascii="PingFang SC" w:hAnsi="PingFang SC" w:eastAsia="PingFang SC"/>
          <w:b w:val="0"/>
          <w:color w:val="4E4E4E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云原生架构转型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高并发交易系统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数据平台建设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4E4E4E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AI推理服务平台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实时特征计算系统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电商平台后端服务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4E4E4E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4E4E4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