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98989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f5f5f5"/>
        </w:pBdr>
      </w:pP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242424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5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5f5f5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42424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42424"/>
          <w:sz w:val="20"/>
        </w:rPr>
        <w:t>58个品牌设计风格</w:t>
      </w:r>
      <w:r>
        <w:rPr>
          <w:rFonts w:ascii="PingFang SC" w:hAnsi="PingFang SC" w:eastAsia="PingFang SC"/>
          <w:b w:val="0"/>
          <w:color w:val="242424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42424"/>
          <w:sz w:val="20"/>
        </w:rPr>
        <w:t>HTML/PDF/DOCX</w:t>
      </w:r>
      <w:r>
        <w:rPr>
          <w:rFonts w:ascii="PingFang SC" w:hAnsi="PingFang SC" w:eastAsia="PingFang SC"/>
          <w:b w:val="0"/>
          <w:color w:val="242424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42424"/>
          <w:sz w:val="28"/>
        </w:rPr>
        <w:t>星辰科技集团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898989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898989"/>
          <w:sz w:val="20"/>
        </w:rPr>
        <w:t>12人团队</w:t>
      </w:r>
      <w:r>
        <w:rPr>
          <w:rFonts w:ascii="PingFang SC" w:hAnsi="PingFang SC" w:eastAsia="PingFang SC"/>
          <w:b w:val="0"/>
          <w:color w:val="898989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898989"/>
          <w:sz w:val="20"/>
        </w:rPr>
        <w:t>3倍增长</w:t>
      </w:r>
      <w:r>
        <w:rPr>
          <w:rFonts w:ascii="PingFang SC" w:hAnsi="PingFang SC" w:eastAsia="PingFang SC"/>
          <w:b w:val="0"/>
          <w:color w:val="898989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主导单体应用拆分为</w:t>
      </w:r>
      <w:r>
        <w:rPr>
          <w:rFonts w:ascii="PingFang SC" w:hAnsi="PingFang SC" w:eastAsia="PingFang SC"/>
          <w:b/>
          <w:color w:val="242424"/>
          <w:sz w:val="20"/>
        </w:rPr>
        <w:t>30+微服务</w:t>
      </w:r>
      <w:r>
        <w:rPr>
          <w:rFonts w:ascii="PingFang SC" w:hAnsi="PingFang SC" w:eastAsia="PingFang SC"/>
          <w:b w:val="0"/>
          <w:color w:val="242424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建立GitOps发布流程，实现</w:t>
      </w:r>
      <w:r>
        <w:rPr>
          <w:rFonts w:ascii="PingFang SC" w:hAnsi="PingFang SC" w:eastAsia="PingFang SC"/>
          <w:b/>
          <w:color w:val="242424"/>
          <w:sz w:val="20"/>
        </w:rPr>
        <w:t>日级迭代</w:t>
      </w:r>
      <w:r>
        <w:rPr>
          <w:rFonts w:ascii="PingFang SC" w:hAnsi="PingFang SC" w:eastAsia="PingFang SC"/>
          <w:b w:val="0"/>
          <w:color w:val="242424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系统可用性从99.5%提升至</w:t>
      </w:r>
      <w:r>
        <w:rPr>
          <w:rFonts w:ascii="PingFang SC" w:hAnsi="PingFang SC" w:eastAsia="PingFang SC"/>
          <w:b/>
          <w:color w:val="242424"/>
          <w:sz w:val="20"/>
        </w:rPr>
        <w:t>99.99%</w:t>
      </w:r>
      <w:r>
        <w:rPr>
          <w:rFonts w:ascii="PingFang SC" w:hAnsi="PingFang SC" w:eastAsia="PingFang SC"/>
          <w:b w:val="0"/>
          <w:color w:val="242424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42424"/>
          <w:sz w:val="20"/>
        </w:rPr>
        <w:t>日均千万订单</w:t>
      </w:r>
      <w:r>
        <w:rPr>
          <w:rFonts w:ascii="PingFang SC" w:hAnsi="PingFang SC" w:eastAsia="PingFang SC"/>
          <w:b w:val="0"/>
          <w:color w:val="242424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API P99延迟从800ms优化至</w:t>
      </w:r>
      <w:r>
        <w:rPr>
          <w:rFonts w:ascii="PingFang SC" w:hAnsi="PingFang SC" w:eastAsia="PingFang SC"/>
          <w:b/>
          <w:color w:val="242424"/>
          <w:sz w:val="20"/>
        </w:rPr>
        <w:t>50ms</w:t>
      </w:r>
      <w:r>
        <w:rPr>
          <w:rFonts w:ascii="PingFang SC" w:hAnsi="PingFang SC" w:eastAsia="PingFang SC"/>
          <w:b w:val="0"/>
          <w:color w:val="242424"/>
          <w:sz w:val="20"/>
        </w:rPr>
        <w:t>，QPS峰值提升至</w:t>
      </w:r>
      <w:r>
        <w:rPr>
          <w:rFonts w:ascii="PingFang SC" w:hAnsi="PingFang SC" w:eastAsia="PingFang SC"/>
          <w:b/>
          <w:color w:val="242424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42424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构建实时数据管道，支持</w:t>
      </w:r>
      <w:r>
        <w:rPr>
          <w:rFonts w:ascii="PingFang SC" w:hAnsi="PingFang SC" w:eastAsia="PingFang SC"/>
          <w:b/>
          <w:color w:val="242424"/>
          <w:sz w:val="20"/>
        </w:rPr>
        <w:t>PB级</w:t>
      </w:r>
      <w:r>
        <w:rPr>
          <w:rFonts w:ascii="PingFang SC" w:hAnsi="PingFang SC" w:eastAsia="PingFang SC"/>
          <w:b w:val="0"/>
          <w:color w:val="242424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42424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42424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42424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98989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设计模型服务网关，支持</w:t>
      </w:r>
      <w:r>
        <w:rPr>
          <w:rFonts w:ascii="PingFang SC" w:hAnsi="PingFang SC" w:eastAsia="PingFang SC"/>
          <w:b/>
          <w:color w:val="242424"/>
          <w:sz w:val="20"/>
        </w:rPr>
        <w:t>100+AI模型</w:t>
      </w:r>
      <w:r>
        <w:rPr>
          <w:rFonts w:ascii="PingFang SC" w:hAnsi="PingFang SC" w:eastAsia="PingFang SC"/>
          <w:b w:val="0"/>
          <w:color w:val="242424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42424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42424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42424"/>
          <w:sz w:val="20"/>
        </w:rPr>
        <w:t>亿级特征</w:t>
      </w:r>
      <w:r>
        <w:rPr>
          <w:rFonts w:ascii="PingFang SC" w:hAnsi="PingFang SC" w:eastAsia="PingFang SC"/>
          <w:b w:val="0"/>
          <w:color w:val="242424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系统支撑</w:t>
      </w:r>
      <w:r>
        <w:rPr>
          <w:rFonts w:ascii="PingFang SC" w:hAnsi="PingFang SC" w:eastAsia="PingFang SC"/>
          <w:b/>
          <w:color w:val="242424"/>
          <w:sz w:val="20"/>
        </w:rPr>
        <w:t>千万级日活</w:t>
      </w:r>
      <w:r>
        <w:rPr>
          <w:rFonts w:ascii="PingFang SC" w:hAnsi="PingFang SC" w:eastAsia="PingFang SC"/>
          <w:b w:val="0"/>
          <w:color w:val="242424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42424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42424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42424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0"/>
        </w:rPr>
        <w:t>CKA认证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AWS解决方案架构师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GCP专业云架构师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阿里云ACE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PMP项目管理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8"/>
        </w:rPr>
        <w:t>上海交通大学</w:t>
      </w:r>
      <w:r>
        <w:rPr>
          <w:rFonts w:ascii="PingFang SC" w:hAnsi="PingFang SC" w:eastAsia="PingFang SC"/>
          <w:b/>
          <w:color w:val="242424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42424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